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A49F" w14:textId="05ACBE5D" w:rsidR="00FF089B" w:rsidRPr="00FF089B" w:rsidRDefault="00FF089B" w:rsidP="009908EC">
      <w:pPr>
        <w:contextualSpacing/>
        <w:jc w:val="center"/>
        <w:rPr>
          <w:rFonts w:ascii="Century Gothic" w:hAnsi="Century Gothic"/>
          <w:b/>
          <w:bCs/>
          <w:color w:val="4472C4" w:themeColor="accent1"/>
          <w:sz w:val="26"/>
          <w:szCs w:val="26"/>
        </w:rPr>
      </w:pPr>
      <w:r w:rsidRPr="00FF089B">
        <w:rPr>
          <w:rFonts w:ascii="Century Gothic" w:hAnsi="Century Gothic"/>
          <w:b/>
          <w:bCs/>
          <w:color w:val="4472C4" w:themeColor="accent1"/>
          <w:sz w:val="26"/>
          <w:szCs w:val="26"/>
        </w:rPr>
        <w:t xml:space="preserve">Using the Healthy Places Index as part of California’s Health Equity </w:t>
      </w:r>
      <w:r>
        <w:rPr>
          <w:rFonts w:ascii="Century Gothic" w:hAnsi="Century Gothic"/>
          <w:b/>
          <w:bCs/>
          <w:color w:val="4472C4" w:themeColor="accent1"/>
          <w:sz w:val="26"/>
          <w:szCs w:val="26"/>
        </w:rPr>
        <w:t>Me</w:t>
      </w:r>
      <w:r w:rsidR="007B6E94">
        <w:rPr>
          <w:rFonts w:ascii="Century Gothic" w:hAnsi="Century Gothic"/>
          <w:b/>
          <w:bCs/>
          <w:color w:val="4472C4" w:themeColor="accent1"/>
          <w:sz w:val="26"/>
          <w:szCs w:val="26"/>
        </w:rPr>
        <w:t>tric</w:t>
      </w:r>
      <w:r>
        <w:rPr>
          <w:rFonts w:ascii="Century Gothic" w:hAnsi="Century Gothic"/>
          <w:b/>
          <w:bCs/>
          <w:color w:val="4472C4" w:themeColor="accent1"/>
          <w:sz w:val="26"/>
          <w:szCs w:val="26"/>
        </w:rPr>
        <w:t>:</w:t>
      </w:r>
    </w:p>
    <w:p w14:paraId="02EA5B13" w14:textId="7820BD8E" w:rsidR="00FF089B" w:rsidRDefault="00FF089B" w:rsidP="00FF089B">
      <w:pPr>
        <w:contextualSpacing/>
        <w:jc w:val="center"/>
        <w:rPr>
          <w:rFonts w:ascii="Century Gothic" w:hAnsi="Century Gothic"/>
          <w:b/>
          <w:bCs/>
          <w:color w:val="4472C4" w:themeColor="accent1"/>
          <w:sz w:val="26"/>
          <w:szCs w:val="26"/>
        </w:rPr>
      </w:pPr>
      <w:r w:rsidRPr="00FF089B">
        <w:rPr>
          <w:rFonts w:ascii="Century Gothic" w:hAnsi="Century Gothic"/>
          <w:b/>
          <w:bCs/>
          <w:color w:val="4472C4" w:themeColor="accent1"/>
          <w:sz w:val="26"/>
          <w:szCs w:val="26"/>
        </w:rPr>
        <w:t>Talking Points for Local Health Departments &amp; Communities</w:t>
      </w:r>
    </w:p>
    <w:p w14:paraId="108BD26B" w14:textId="4F0FACDB" w:rsidR="00FF089B" w:rsidRPr="00FF089B" w:rsidRDefault="007B6E94" w:rsidP="00FF089B">
      <w:pPr>
        <w:contextualSpacing/>
        <w:jc w:val="center"/>
        <w:rPr>
          <w:rFonts w:ascii="Century Gothic" w:hAnsi="Century Gothic"/>
          <w:b/>
          <w:bCs/>
          <w:color w:val="4472C4" w:themeColor="accent1"/>
          <w:sz w:val="26"/>
          <w:szCs w:val="26"/>
        </w:rPr>
      </w:pPr>
      <w:r w:rsidRPr="005E5395">
        <w:rPr>
          <w:noProof/>
        </w:rPr>
        <mc:AlternateContent>
          <mc:Choice Requires="wps">
            <w:drawing>
              <wp:anchor distT="45720" distB="45720" distL="114300" distR="114300" simplePos="0" relativeHeight="251659264" behindDoc="0" locked="0" layoutInCell="1" allowOverlap="1" wp14:anchorId="2DC19C2C" wp14:editId="1746CACC">
                <wp:simplePos x="0" y="0"/>
                <wp:positionH relativeFrom="margin">
                  <wp:posOffset>94615</wp:posOffset>
                </wp:positionH>
                <wp:positionV relativeFrom="paragraph">
                  <wp:posOffset>280035</wp:posOffset>
                </wp:positionV>
                <wp:extent cx="6644640" cy="1656715"/>
                <wp:effectExtent l="0" t="0" r="1016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656715"/>
                        </a:xfrm>
                        <a:prstGeom prst="rect">
                          <a:avLst/>
                        </a:prstGeom>
                        <a:solidFill>
                          <a:srgbClr val="FFFFFF"/>
                        </a:solidFill>
                        <a:ln w="9525">
                          <a:solidFill>
                            <a:srgbClr val="000000"/>
                          </a:solidFill>
                          <a:miter lim="800000"/>
                          <a:headEnd/>
                          <a:tailEnd/>
                        </a:ln>
                      </wps:spPr>
                      <wps:txbx>
                        <w:txbxContent>
                          <w:p w14:paraId="33E46BDF" w14:textId="798807B7" w:rsidR="00155D23" w:rsidRPr="00155D23" w:rsidRDefault="00D14C13" w:rsidP="00155D23">
                            <w:pPr>
                              <w:rPr>
                                <w:rFonts w:ascii="Arial" w:hAnsi="Arial" w:cs="Arial"/>
                                <w:color w:val="000000"/>
                                <w:sz w:val="22"/>
                                <w:szCs w:val="22"/>
                                <w:shd w:val="clear" w:color="auto" w:fill="FFFFFF"/>
                              </w:rPr>
                            </w:pPr>
                            <w:r w:rsidRPr="00B31D39">
                              <w:rPr>
                                <w:rFonts w:ascii="Arial" w:hAnsi="Arial" w:cs="Arial"/>
                                <w:sz w:val="22"/>
                                <w:szCs w:val="22"/>
                              </w:rPr>
                              <w:t xml:space="preserve">The </w:t>
                            </w:r>
                            <w:hyperlink r:id="rId8" w:history="1">
                              <w:r w:rsidRPr="00B31D39">
                                <w:rPr>
                                  <w:rStyle w:val="Hyperlink"/>
                                  <w:rFonts w:ascii="Arial" w:hAnsi="Arial" w:cs="Arial"/>
                                  <w:sz w:val="22"/>
                                  <w:szCs w:val="22"/>
                                </w:rPr>
                                <w:t>Public Health Alliance of Southern California</w:t>
                              </w:r>
                            </w:hyperlink>
                            <w:r w:rsidRPr="00B31D39">
                              <w:rPr>
                                <w:rFonts w:ascii="Arial" w:hAnsi="Arial" w:cs="Arial"/>
                                <w:sz w:val="22"/>
                                <w:szCs w:val="22"/>
                              </w:rPr>
                              <w:t xml:space="preserve"> (Alliance) </w:t>
                            </w:r>
                            <w:r w:rsidR="009848AE">
                              <w:rPr>
                                <w:rFonts w:ascii="Arial" w:hAnsi="Arial" w:cs="Arial"/>
                                <w:sz w:val="22"/>
                                <w:szCs w:val="22"/>
                              </w:rPr>
                              <w:t xml:space="preserve">has developed these talking points in response to </w:t>
                            </w:r>
                            <w:r w:rsidR="009848AE">
                              <w:rPr>
                                <w:rFonts w:ascii="Arial" w:hAnsi="Arial" w:cs="Arial"/>
                                <w:iCs/>
                                <w:sz w:val="22"/>
                                <w:szCs w:val="22"/>
                              </w:rPr>
                              <w:t>t</w:t>
                            </w:r>
                            <w:r w:rsidR="009848AE" w:rsidRPr="009848AE">
                              <w:rPr>
                                <w:rFonts w:ascii="Arial" w:hAnsi="Arial" w:cs="Arial"/>
                                <w:iCs/>
                                <w:sz w:val="22"/>
                                <w:szCs w:val="22"/>
                              </w:rPr>
                              <w:t xml:space="preserve">he State of California’s new </w:t>
                            </w:r>
                            <w:hyperlink r:id="rId9" w:history="1">
                              <w:r w:rsidR="009848AE" w:rsidRPr="007B6E94">
                                <w:rPr>
                                  <w:rStyle w:val="Hyperlink"/>
                                  <w:rFonts w:ascii="Arial" w:hAnsi="Arial" w:cs="Arial"/>
                                  <w:iCs/>
                                  <w:sz w:val="22"/>
                                  <w:szCs w:val="22"/>
                                </w:rPr>
                                <w:t>health equity me</w:t>
                              </w:r>
                              <w:r w:rsidR="007B6E94" w:rsidRPr="007B6E94">
                                <w:rPr>
                                  <w:rStyle w:val="Hyperlink"/>
                                  <w:rFonts w:ascii="Arial" w:hAnsi="Arial" w:cs="Arial"/>
                                  <w:iCs/>
                                  <w:sz w:val="22"/>
                                  <w:szCs w:val="22"/>
                                </w:rPr>
                                <w:t>tric</w:t>
                              </w:r>
                            </w:hyperlink>
                            <w:r w:rsidR="009848AE" w:rsidRPr="009848AE">
                              <w:rPr>
                                <w:rFonts w:ascii="Arial" w:hAnsi="Arial" w:cs="Arial"/>
                                <w:iCs/>
                                <w:sz w:val="22"/>
                                <w:szCs w:val="22"/>
                              </w:rPr>
                              <w:t xml:space="preserve"> </w:t>
                            </w:r>
                            <w:r w:rsidR="009848AE">
                              <w:rPr>
                                <w:rFonts w:ascii="Arial" w:hAnsi="Arial" w:cs="Arial"/>
                                <w:iCs/>
                                <w:sz w:val="22"/>
                                <w:szCs w:val="22"/>
                              </w:rPr>
                              <w:t xml:space="preserve">that </w:t>
                            </w:r>
                            <w:r w:rsidR="009848AE" w:rsidRPr="009848AE">
                              <w:rPr>
                                <w:rFonts w:ascii="Arial" w:hAnsi="Arial" w:cs="Arial"/>
                                <w:iCs/>
                                <w:sz w:val="22"/>
                                <w:szCs w:val="22"/>
                              </w:rPr>
                              <w:t xml:space="preserve">will be used as part of the State’s </w:t>
                            </w:r>
                            <w:hyperlink r:id="rId10" w:history="1">
                              <w:r w:rsidR="009848AE" w:rsidRPr="009848AE">
                                <w:rPr>
                                  <w:rStyle w:val="Hyperlink"/>
                                  <w:rFonts w:ascii="Arial" w:hAnsi="Arial" w:cs="Arial"/>
                                  <w:iCs/>
                                  <w:sz w:val="22"/>
                                  <w:szCs w:val="22"/>
                                </w:rPr>
                                <w:t>Blueprint for a Safer Economy</w:t>
                              </w:r>
                            </w:hyperlink>
                            <w:r w:rsidR="009848AE" w:rsidRPr="009848AE">
                              <w:rPr>
                                <w:rFonts w:ascii="Arial" w:hAnsi="Arial" w:cs="Arial"/>
                                <w:iCs/>
                                <w:sz w:val="22"/>
                                <w:szCs w:val="22"/>
                              </w:rPr>
                              <w:t xml:space="preserve">. </w:t>
                            </w:r>
                            <w:r w:rsidR="00155D23" w:rsidRPr="0021346A">
                              <w:rPr>
                                <w:rFonts w:ascii="Arial" w:hAnsi="Arial" w:cs="Arial"/>
                                <w:color w:val="000000" w:themeColor="text1"/>
                                <w:sz w:val="22"/>
                                <w:szCs w:val="22"/>
                              </w:rPr>
                              <w:t xml:space="preserve">The State has created a metric that utilizes the Alliance’s </w:t>
                            </w:r>
                            <w:hyperlink r:id="rId11" w:tooltip="https://healthyplacesindex.org/" w:history="1">
                              <w:r w:rsidR="00155D23" w:rsidRPr="0021346A">
                                <w:rPr>
                                  <w:rStyle w:val="Hyperlink"/>
                                  <w:rFonts w:ascii="Arial" w:hAnsi="Arial" w:cs="Arial"/>
                                  <w:sz w:val="22"/>
                                  <w:szCs w:val="22"/>
                                </w:rPr>
                                <w:t>California Healthy Places Index</w:t>
                              </w:r>
                            </w:hyperlink>
                            <w:r w:rsidR="00155D23" w:rsidRPr="0021346A">
                              <w:rPr>
                                <w:rFonts w:ascii="Arial" w:hAnsi="Arial" w:cs="Arial"/>
                                <w:color w:val="000000" w:themeColor="text1"/>
                                <w:sz w:val="22"/>
                                <w:szCs w:val="22"/>
                              </w:rPr>
                              <w:t xml:space="preserve"> (HPI) </w:t>
                            </w:r>
                            <w:r w:rsidR="00155D23" w:rsidRPr="00916F5B">
                              <w:rPr>
                                <w:rFonts w:ascii="Arial" w:hAnsi="Arial" w:cs="Arial"/>
                                <w:color w:val="000000" w:themeColor="text1"/>
                                <w:sz w:val="22"/>
                                <w:szCs w:val="22"/>
                              </w:rPr>
                              <w:t>to compare the overall test positivity rate in a county’s census tracts with the least opportunities for health compared to the threshold rate of the State’s Blueprint tiers.</w:t>
                            </w:r>
                            <w:r w:rsidR="00155D23" w:rsidRPr="0021346A">
                              <w:rPr>
                                <w:rFonts w:ascii="Arial" w:hAnsi="Arial" w:cs="Arial"/>
                                <w:color w:val="000000"/>
                                <w:sz w:val="22"/>
                                <w:szCs w:val="22"/>
                                <w:shd w:val="clear" w:color="auto" w:fill="FFFFFF"/>
                              </w:rPr>
                              <w:t xml:space="preserve"> </w:t>
                            </w:r>
                            <w:r w:rsidR="00155D23">
                              <w:rPr>
                                <w:rFonts w:ascii="Arial" w:hAnsi="Arial" w:cs="Arial"/>
                                <w:color w:val="000000"/>
                                <w:sz w:val="22"/>
                                <w:szCs w:val="22"/>
                                <w:shd w:val="clear" w:color="auto" w:fill="FFFFFF"/>
                              </w:rPr>
                              <w:t>To our knowledge, this</w:t>
                            </w:r>
                            <w:r w:rsidR="00155D23" w:rsidRPr="00C07D77">
                              <w:rPr>
                                <w:rFonts w:ascii="Arial" w:hAnsi="Arial" w:cs="Arial"/>
                                <w:color w:val="000000"/>
                                <w:sz w:val="22"/>
                                <w:szCs w:val="22"/>
                                <w:shd w:val="clear" w:color="auto" w:fill="FFFFFF"/>
                              </w:rPr>
                              <w:t xml:space="preserve"> makes California one of the few states in the country to incorporate equity into the COVID-19 reopening and recovery process.</w:t>
                            </w:r>
                            <w:r w:rsidR="00155D23" w:rsidRPr="00C07D77">
                              <w:rPr>
                                <w:rFonts w:ascii="Arial" w:hAnsi="Arial" w:cs="Arial"/>
                                <w:color w:val="000000"/>
                                <w:sz w:val="22"/>
                                <w:szCs w:val="22"/>
                                <w:shd w:val="clear" w:color="auto" w:fill="FFFFFF"/>
                              </w:rPr>
                              <w:t/>
                            </w:r>
                            <w:r w:rsidR="00155D23" w:rsidRPr="00C07D77">
                              <w:rPr>
                                <w:rFonts w:ascii="Arial" w:hAnsi="Arial" w:cs="Arial"/>
                                <w:color w:val="000000"/>
                                <w:sz w:val="22"/>
                                <w:szCs w:val="22"/>
                                <w:shd w:val="clear" w:color="auto" w:fill="FFFFFF"/>
                              </w:rPr>
                              <w:t/>
                            </w:r>
                            <w:r w:rsidR="00155D23">
                              <w:rPr>
                                <w:rStyle w:val="CommentReference"/>
                              </w:rPr>
                              <w:t/>
                            </w:r>
                            <w:r w:rsidR="00155D23">
                              <w:rPr>
                                <w:rFonts w:ascii="Arial" w:hAnsi="Arial" w:cs="Arial"/>
                                <w:color w:val="000000"/>
                                <w:sz w:val="22"/>
                                <w:szCs w:val="22"/>
                                <w:shd w:val="clear" w:color="auto" w:fill="FFFFFF"/>
                              </w:rPr>
                              <w:t xml:space="preserve"> </w:t>
                            </w:r>
                            <w:r w:rsidR="00155D23">
                              <w:rPr>
                                <w:rFonts w:ascii="Arial" w:hAnsi="Arial" w:cs="Arial"/>
                                <w:color w:val="000000"/>
                                <w:sz w:val="22"/>
                                <w:szCs w:val="22"/>
                                <w:shd w:val="clear" w:color="auto" w:fill="FFFFFF"/>
                              </w:rPr>
                              <w:t xml:space="preserve">More information about the State’s guidance on the health equity metric is available </w:t>
                            </w:r>
                            <w:hyperlink r:id="rId12" w:history="1">
                              <w:r w:rsidR="00155D23" w:rsidRPr="00FC7CAB">
                                <w:rPr>
                                  <w:rStyle w:val="Hyperlink"/>
                                  <w:rFonts w:ascii="Arial" w:hAnsi="Arial" w:cs="Arial"/>
                                  <w:sz w:val="22"/>
                                  <w:szCs w:val="22"/>
                                  <w:shd w:val="clear" w:color="auto" w:fill="FFFFFF"/>
                                </w:rPr>
                                <w:t>here</w:t>
                              </w:r>
                            </w:hyperlink>
                            <w:r w:rsidR="00155D23">
                              <w:rPr>
                                <w:rFonts w:ascii="Arial" w:hAnsi="Arial" w:cs="Arial"/>
                                <w:color w:val="000000"/>
                                <w:sz w:val="22"/>
                                <w:szCs w:val="22"/>
                                <w:shd w:val="clear" w:color="auto" w:fill="FFFFFF"/>
                              </w:rPr>
                              <w:t xml:space="preserve">. You can also learn the latest about the HPI on our </w:t>
                            </w:r>
                            <w:hyperlink r:id="rId13" w:history="1">
                              <w:r w:rsidR="00155D23" w:rsidRPr="00E91ED2">
                                <w:rPr>
                                  <w:rStyle w:val="Hyperlink"/>
                                  <w:rFonts w:ascii="Arial" w:hAnsi="Arial" w:cs="Arial"/>
                                  <w:sz w:val="22"/>
                                  <w:szCs w:val="22"/>
                                  <w:shd w:val="clear" w:color="auto" w:fill="FFFFFF"/>
                                </w:rPr>
                                <w:t>website</w:t>
                              </w:r>
                            </w:hyperlink>
                            <w:r w:rsidR="00155D23">
                              <w:rPr>
                                <w:rFonts w:ascii="Arial" w:hAnsi="Arial" w:cs="Arial"/>
                                <w:color w:val="000000"/>
                                <w:sz w:val="22"/>
                                <w:szCs w:val="22"/>
                                <w:shd w:val="clear" w:color="auto" w:fill="FFFFFF"/>
                              </w:rPr>
                              <w:t xml:space="preserve">, </w:t>
                            </w:r>
                            <w:hyperlink r:id="rId14" w:history="1">
                              <w:r w:rsidR="00155D23" w:rsidRPr="00E91ED2">
                                <w:rPr>
                                  <w:rStyle w:val="Hyperlink"/>
                                  <w:rFonts w:ascii="Arial" w:hAnsi="Arial" w:cs="Arial"/>
                                  <w:sz w:val="22"/>
                                  <w:szCs w:val="22"/>
                                  <w:shd w:val="clear" w:color="auto" w:fill="FFFFFF"/>
                                </w:rPr>
                                <w:t>platform map</w:t>
                              </w:r>
                            </w:hyperlink>
                            <w:r w:rsidR="00155D23">
                              <w:rPr>
                                <w:rFonts w:ascii="Arial" w:hAnsi="Arial" w:cs="Arial"/>
                                <w:color w:val="000000"/>
                                <w:sz w:val="22"/>
                                <w:szCs w:val="22"/>
                                <w:shd w:val="clear" w:color="auto" w:fill="FFFFFF"/>
                              </w:rPr>
                              <w:t xml:space="preserve"> and </w:t>
                            </w:r>
                            <w:hyperlink r:id="rId15" w:history="1">
                              <w:r w:rsidR="00155D23" w:rsidRPr="00E91ED2">
                                <w:rPr>
                                  <w:rStyle w:val="Hyperlink"/>
                                  <w:rFonts w:ascii="Arial" w:hAnsi="Arial" w:cs="Arial"/>
                                  <w:sz w:val="22"/>
                                  <w:szCs w:val="22"/>
                                  <w:shd w:val="clear" w:color="auto" w:fill="FFFFFF"/>
                                </w:rPr>
                                <w:t>COVID-19 resource map</w:t>
                              </w:r>
                            </w:hyperlink>
                            <w:r w:rsidR="00155D23">
                              <w:rPr>
                                <w:rFonts w:ascii="Arial" w:hAnsi="Arial" w:cs="Arial"/>
                                <w:color w:val="000000"/>
                                <w:sz w:val="22"/>
                                <w:szCs w:val="22"/>
                                <w:shd w:val="clear" w:color="auto" w:fill="FFFFFF"/>
                              </w:rPr>
                              <w:t xml:space="preserve">. </w:t>
                            </w:r>
                          </w:p>
                          <w:p w14:paraId="6AE4D37E" w14:textId="163D2CFF" w:rsidR="009848AE" w:rsidRPr="009848AE" w:rsidRDefault="009848AE" w:rsidP="007B6E94">
                            <w:pPr>
                              <w:jc w:val="both"/>
                              <w:rPr>
                                <w:rFonts w:ascii="Arial" w:hAnsi="Arial" w:cs="Arial"/>
                                <w:iCs/>
                                <w:sz w:val="22"/>
                                <w:szCs w:val="22"/>
                              </w:rPr>
                            </w:pPr>
                          </w:p>
                          <w:p w14:paraId="345B5584" w14:textId="562C7998" w:rsidR="00D14C13" w:rsidRDefault="00D14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9C2C" id="_x0000_t202" coordsize="21600,21600" o:spt="202" path="m,l,21600r21600,l21600,xe">
                <v:stroke joinstyle="miter"/>
                <v:path gradientshapeok="t" o:connecttype="rect"/>
              </v:shapetype>
              <v:shape id="Text Box 2" o:spid="_x0000_s1026" type="#_x0000_t202" style="position:absolute;left:0;text-align:left;margin-left:7.45pt;margin-top:22.05pt;width:523.2pt;height:13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">
                <v:textbox>
                  <w:txbxContent>
                    <w:p w14:paraId="33E46BDF" w14:textId="798807B7" w:rsidR="00155D23" w:rsidRPr="00155D23" w:rsidRDefault="00D14C13" w:rsidP="00155D23">
                      <w:pPr>
                        <w:rPr>
                          <w:rFonts w:ascii="Arial" w:hAnsi="Arial" w:cs="Arial"/>
                          <w:color w:val="000000"/>
                          <w:sz w:val="22"/>
                          <w:szCs w:val="22"/>
                          <w:shd w:val="clear" w:color="auto" w:fill="FFFFFF"/>
                        </w:rPr>
                      </w:pPr>
                      <w:r w:rsidRPr="00B31D39">
                        <w:rPr>
                          <w:rFonts w:ascii="Arial" w:hAnsi="Arial" w:cs="Arial"/>
                          <w:sz w:val="22"/>
                          <w:szCs w:val="22"/>
                        </w:rPr>
                        <w:t xml:space="preserve">The </w:t>
                      </w:r>
                      <w:hyperlink r:id="rId16" w:history="1">
                        <w:r w:rsidRPr="00B31D39">
                          <w:rPr>
                            <w:rStyle w:val="Hyperlink"/>
                            <w:rFonts w:ascii="Arial" w:hAnsi="Arial" w:cs="Arial"/>
                            <w:sz w:val="22"/>
                            <w:szCs w:val="22"/>
                          </w:rPr>
                          <w:t>Public Health Alliance of Southern California</w:t>
                        </w:r>
                      </w:hyperlink>
                      <w:r w:rsidRPr="00B31D39">
                        <w:rPr>
                          <w:rFonts w:ascii="Arial" w:hAnsi="Arial" w:cs="Arial"/>
                          <w:sz w:val="22"/>
                          <w:szCs w:val="22"/>
                        </w:rPr>
                        <w:t xml:space="preserve"> (Alliance) </w:t>
                      </w:r>
                      <w:r w:rsidR="009848AE">
                        <w:rPr>
                          <w:rFonts w:ascii="Arial" w:hAnsi="Arial" w:cs="Arial"/>
                          <w:sz w:val="22"/>
                          <w:szCs w:val="22"/>
                        </w:rPr>
                        <w:t xml:space="preserve">has developed these talking points in response to </w:t>
                      </w:r>
                      <w:r w:rsidR="009848AE">
                        <w:rPr>
                          <w:rFonts w:ascii="Arial" w:hAnsi="Arial" w:cs="Arial"/>
                          <w:iCs/>
                          <w:sz w:val="22"/>
                          <w:szCs w:val="22"/>
                        </w:rPr>
                        <w:t>t</w:t>
                      </w:r>
                      <w:r w:rsidR="009848AE" w:rsidRPr="009848AE">
                        <w:rPr>
                          <w:rFonts w:ascii="Arial" w:hAnsi="Arial" w:cs="Arial"/>
                          <w:iCs/>
                          <w:sz w:val="22"/>
                          <w:szCs w:val="22"/>
                        </w:rPr>
                        <w:t xml:space="preserve">he State of California’s new </w:t>
                      </w:r>
                      <w:hyperlink r:id="rId17" w:history="1">
                        <w:r w:rsidR="009848AE" w:rsidRPr="007B6E94">
                          <w:rPr>
                            <w:rStyle w:val="Hyperlink"/>
                            <w:rFonts w:ascii="Arial" w:hAnsi="Arial" w:cs="Arial"/>
                            <w:iCs/>
                            <w:sz w:val="22"/>
                            <w:szCs w:val="22"/>
                          </w:rPr>
                          <w:t>health equity me</w:t>
                        </w:r>
                        <w:r w:rsidR="007B6E94" w:rsidRPr="007B6E94">
                          <w:rPr>
                            <w:rStyle w:val="Hyperlink"/>
                            <w:rFonts w:ascii="Arial" w:hAnsi="Arial" w:cs="Arial"/>
                            <w:iCs/>
                            <w:sz w:val="22"/>
                            <w:szCs w:val="22"/>
                          </w:rPr>
                          <w:t>tric</w:t>
                        </w:r>
                      </w:hyperlink>
                      <w:r w:rsidR="009848AE" w:rsidRPr="009848AE">
                        <w:rPr>
                          <w:rFonts w:ascii="Arial" w:hAnsi="Arial" w:cs="Arial"/>
                          <w:iCs/>
                          <w:sz w:val="22"/>
                          <w:szCs w:val="22"/>
                        </w:rPr>
                        <w:t xml:space="preserve"> </w:t>
                      </w:r>
                      <w:r w:rsidR="009848AE">
                        <w:rPr>
                          <w:rFonts w:ascii="Arial" w:hAnsi="Arial" w:cs="Arial"/>
                          <w:iCs/>
                          <w:sz w:val="22"/>
                          <w:szCs w:val="22"/>
                        </w:rPr>
                        <w:t xml:space="preserve">that </w:t>
                      </w:r>
                      <w:r w:rsidR="009848AE" w:rsidRPr="009848AE">
                        <w:rPr>
                          <w:rFonts w:ascii="Arial" w:hAnsi="Arial" w:cs="Arial"/>
                          <w:iCs/>
                          <w:sz w:val="22"/>
                          <w:szCs w:val="22"/>
                        </w:rPr>
                        <w:t xml:space="preserve">will be used as part of the State’s </w:t>
                      </w:r>
                      <w:hyperlink r:id="rId18" w:history="1">
                        <w:r w:rsidR="009848AE" w:rsidRPr="009848AE">
                          <w:rPr>
                            <w:rStyle w:val="Hyperlink"/>
                            <w:rFonts w:ascii="Arial" w:hAnsi="Arial" w:cs="Arial"/>
                            <w:iCs/>
                            <w:sz w:val="22"/>
                            <w:szCs w:val="22"/>
                          </w:rPr>
                          <w:t>Blueprint for a Safer Economy</w:t>
                        </w:r>
                      </w:hyperlink>
                      <w:r w:rsidR="009848AE" w:rsidRPr="009848AE">
                        <w:rPr>
                          <w:rFonts w:ascii="Arial" w:hAnsi="Arial" w:cs="Arial"/>
                          <w:iCs/>
                          <w:sz w:val="22"/>
                          <w:szCs w:val="22"/>
                        </w:rPr>
                        <w:t xml:space="preserve">. </w:t>
                      </w:r>
                      <w:r w:rsidR="00155D23" w:rsidRPr="0021346A">
                        <w:rPr>
                          <w:rFonts w:ascii="Arial" w:hAnsi="Arial" w:cs="Arial"/>
                          <w:color w:val="000000" w:themeColor="text1"/>
                          <w:sz w:val="22"/>
                          <w:szCs w:val="22"/>
                        </w:rPr>
                        <w:t xml:space="preserve">The State has created a metric that utilizes the Alliance’s </w:t>
                      </w:r>
                      <w:hyperlink r:id="rId19" w:tooltip="https://healthyplacesindex.org/" w:history="1">
                        <w:r w:rsidR="00155D23" w:rsidRPr="0021346A">
                          <w:rPr>
                            <w:rStyle w:val="Hyperlink"/>
                            <w:rFonts w:ascii="Arial" w:hAnsi="Arial" w:cs="Arial"/>
                            <w:sz w:val="22"/>
                            <w:szCs w:val="22"/>
                          </w:rPr>
                          <w:t>California Healthy Places Index</w:t>
                        </w:r>
                      </w:hyperlink>
                      <w:r w:rsidR="00155D23" w:rsidRPr="0021346A">
                        <w:rPr>
                          <w:rFonts w:ascii="Arial" w:hAnsi="Arial" w:cs="Arial"/>
                          <w:color w:val="000000" w:themeColor="text1"/>
                          <w:sz w:val="22"/>
                          <w:szCs w:val="22"/>
                        </w:rPr>
                        <w:t xml:space="preserve"> (HPI) </w:t>
                      </w:r>
                      <w:r w:rsidR="00155D23" w:rsidRPr="00916F5B">
                        <w:rPr>
                          <w:rFonts w:ascii="Arial" w:hAnsi="Arial" w:cs="Arial"/>
                          <w:color w:val="000000" w:themeColor="text1"/>
                          <w:sz w:val="22"/>
                          <w:szCs w:val="22"/>
                        </w:rPr>
                        <w:t>to compare the overall test positivity rate in a county’s census tracts with the least opportunities for health compared to the threshold rate of the State’s Blueprint tiers.</w:t>
                      </w:r>
                      <w:r w:rsidR="00155D23" w:rsidRPr="0021346A">
                        <w:rPr>
                          <w:rFonts w:ascii="Arial" w:hAnsi="Arial" w:cs="Arial"/>
                          <w:color w:val="000000"/>
                          <w:sz w:val="22"/>
                          <w:szCs w:val="22"/>
                          <w:shd w:val="clear" w:color="auto" w:fill="FFFFFF"/>
                        </w:rPr>
                        <w:t xml:space="preserve"> </w:t>
                      </w:r>
                      <w:r w:rsidR="00155D23">
                        <w:rPr>
                          <w:rFonts w:ascii="Arial" w:hAnsi="Arial" w:cs="Arial"/>
                          <w:color w:val="000000"/>
                          <w:sz w:val="22"/>
                          <w:szCs w:val="22"/>
                          <w:shd w:val="clear" w:color="auto" w:fill="FFFFFF"/>
                        </w:rPr>
                        <w:t>To our knowledge, this</w:t>
                      </w:r>
                      <w:r w:rsidR="00155D23" w:rsidRPr="00C07D77">
                        <w:rPr>
                          <w:rFonts w:ascii="Arial" w:hAnsi="Arial" w:cs="Arial"/>
                          <w:color w:val="000000"/>
                          <w:sz w:val="22"/>
                          <w:szCs w:val="22"/>
                          <w:shd w:val="clear" w:color="auto" w:fill="FFFFFF"/>
                        </w:rPr>
                        <w:t xml:space="preserve"> makes California one of the few states in the country to incorporate equity into the COVID-19 reopening and recovery process.</w:t>
                      </w:r>
                      <w:r w:rsidR="00155D23" w:rsidRPr="00C07D77">
                        <w:rPr>
                          <w:rFonts w:ascii="Arial" w:hAnsi="Arial" w:cs="Arial"/>
                          <w:color w:val="000000"/>
                          <w:sz w:val="22"/>
                          <w:szCs w:val="22"/>
                          <w:shd w:val="clear" w:color="auto" w:fill="FFFFFF"/>
                        </w:rPr>
                        <w:t/>
                      </w:r>
                      <w:r w:rsidR="00155D23" w:rsidRPr="00C07D77">
                        <w:rPr>
                          <w:rFonts w:ascii="Arial" w:hAnsi="Arial" w:cs="Arial"/>
                          <w:color w:val="000000"/>
                          <w:sz w:val="22"/>
                          <w:szCs w:val="22"/>
                          <w:shd w:val="clear" w:color="auto" w:fill="FFFFFF"/>
                        </w:rPr>
                        <w:t/>
                      </w:r>
                      <w:r w:rsidR="00155D23">
                        <w:rPr>
                          <w:rStyle w:val="CommentReference"/>
                        </w:rPr>
                        <w:t/>
                      </w:r>
                      <w:r w:rsidR="00155D23">
                        <w:rPr>
                          <w:rFonts w:ascii="Arial" w:hAnsi="Arial" w:cs="Arial"/>
                          <w:color w:val="000000"/>
                          <w:sz w:val="22"/>
                          <w:szCs w:val="22"/>
                          <w:shd w:val="clear" w:color="auto" w:fill="FFFFFF"/>
                        </w:rPr>
                        <w:t xml:space="preserve"> </w:t>
                      </w:r>
                      <w:r w:rsidR="00155D23">
                        <w:rPr>
                          <w:rFonts w:ascii="Arial" w:hAnsi="Arial" w:cs="Arial"/>
                          <w:color w:val="000000"/>
                          <w:sz w:val="22"/>
                          <w:szCs w:val="22"/>
                          <w:shd w:val="clear" w:color="auto" w:fill="FFFFFF"/>
                        </w:rPr>
                        <w:t xml:space="preserve">More information about the State’s guidance on the health equity metric is available </w:t>
                      </w:r>
                      <w:hyperlink r:id="rId20" w:history="1">
                        <w:r w:rsidR="00155D23" w:rsidRPr="00FC7CAB">
                          <w:rPr>
                            <w:rStyle w:val="Hyperlink"/>
                            <w:rFonts w:ascii="Arial" w:hAnsi="Arial" w:cs="Arial"/>
                            <w:sz w:val="22"/>
                            <w:szCs w:val="22"/>
                            <w:shd w:val="clear" w:color="auto" w:fill="FFFFFF"/>
                          </w:rPr>
                          <w:t>here</w:t>
                        </w:r>
                      </w:hyperlink>
                      <w:r w:rsidR="00155D23">
                        <w:rPr>
                          <w:rFonts w:ascii="Arial" w:hAnsi="Arial" w:cs="Arial"/>
                          <w:color w:val="000000"/>
                          <w:sz w:val="22"/>
                          <w:szCs w:val="22"/>
                          <w:shd w:val="clear" w:color="auto" w:fill="FFFFFF"/>
                        </w:rPr>
                        <w:t xml:space="preserve">. You can also learn the latest about the HPI on our </w:t>
                      </w:r>
                      <w:hyperlink r:id="rId21" w:history="1">
                        <w:r w:rsidR="00155D23" w:rsidRPr="00E91ED2">
                          <w:rPr>
                            <w:rStyle w:val="Hyperlink"/>
                            <w:rFonts w:ascii="Arial" w:hAnsi="Arial" w:cs="Arial"/>
                            <w:sz w:val="22"/>
                            <w:szCs w:val="22"/>
                            <w:shd w:val="clear" w:color="auto" w:fill="FFFFFF"/>
                          </w:rPr>
                          <w:t>website</w:t>
                        </w:r>
                      </w:hyperlink>
                      <w:r w:rsidR="00155D23">
                        <w:rPr>
                          <w:rFonts w:ascii="Arial" w:hAnsi="Arial" w:cs="Arial"/>
                          <w:color w:val="000000"/>
                          <w:sz w:val="22"/>
                          <w:szCs w:val="22"/>
                          <w:shd w:val="clear" w:color="auto" w:fill="FFFFFF"/>
                        </w:rPr>
                        <w:t xml:space="preserve">, </w:t>
                      </w:r>
                      <w:hyperlink r:id="rId22" w:history="1">
                        <w:r w:rsidR="00155D23" w:rsidRPr="00E91ED2">
                          <w:rPr>
                            <w:rStyle w:val="Hyperlink"/>
                            <w:rFonts w:ascii="Arial" w:hAnsi="Arial" w:cs="Arial"/>
                            <w:sz w:val="22"/>
                            <w:szCs w:val="22"/>
                            <w:shd w:val="clear" w:color="auto" w:fill="FFFFFF"/>
                          </w:rPr>
                          <w:t>platform map</w:t>
                        </w:r>
                      </w:hyperlink>
                      <w:r w:rsidR="00155D23">
                        <w:rPr>
                          <w:rFonts w:ascii="Arial" w:hAnsi="Arial" w:cs="Arial"/>
                          <w:color w:val="000000"/>
                          <w:sz w:val="22"/>
                          <w:szCs w:val="22"/>
                          <w:shd w:val="clear" w:color="auto" w:fill="FFFFFF"/>
                        </w:rPr>
                        <w:t xml:space="preserve"> and </w:t>
                      </w:r>
                      <w:hyperlink r:id="rId23" w:history="1">
                        <w:r w:rsidR="00155D23" w:rsidRPr="00E91ED2">
                          <w:rPr>
                            <w:rStyle w:val="Hyperlink"/>
                            <w:rFonts w:ascii="Arial" w:hAnsi="Arial" w:cs="Arial"/>
                            <w:sz w:val="22"/>
                            <w:szCs w:val="22"/>
                            <w:shd w:val="clear" w:color="auto" w:fill="FFFFFF"/>
                          </w:rPr>
                          <w:t>COVID-19 resource map</w:t>
                        </w:r>
                      </w:hyperlink>
                      <w:r w:rsidR="00155D23">
                        <w:rPr>
                          <w:rFonts w:ascii="Arial" w:hAnsi="Arial" w:cs="Arial"/>
                          <w:color w:val="000000"/>
                          <w:sz w:val="22"/>
                          <w:szCs w:val="22"/>
                          <w:shd w:val="clear" w:color="auto" w:fill="FFFFFF"/>
                        </w:rPr>
                        <w:t xml:space="preserve">. </w:t>
                      </w:r>
                    </w:p>
                    <w:p w14:paraId="6AE4D37E" w14:textId="163D2CFF" w:rsidR="009848AE" w:rsidRPr="009848AE" w:rsidRDefault="009848AE" w:rsidP="007B6E94">
                      <w:pPr>
                        <w:jc w:val="both"/>
                        <w:rPr>
                          <w:rFonts w:ascii="Arial" w:hAnsi="Arial" w:cs="Arial"/>
                          <w:iCs/>
                          <w:sz w:val="22"/>
                          <w:szCs w:val="22"/>
                        </w:rPr>
                      </w:pPr>
                    </w:p>
                    <w:p w14:paraId="345B5584" w14:textId="562C7998" w:rsidR="00D14C13" w:rsidRDefault="00D14C13"/>
                  </w:txbxContent>
                </v:textbox>
                <w10:wrap type="square" anchorx="margin"/>
              </v:shape>
            </w:pict>
          </mc:Fallback>
        </mc:AlternateContent>
      </w:r>
    </w:p>
    <w:p w14:paraId="0FD23805" w14:textId="77777777" w:rsidR="00E10AA0" w:rsidRDefault="00E10AA0" w:rsidP="005757C1">
      <w:pPr>
        <w:ind w:left="360" w:hanging="360"/>
        <w:contextualSpacing/>
        <w:jc w:val="center"/>
        <w:rPr>
          <w:rFonts w:ascii="Century Gothic" w:hAnsi="Century Gothic" w:cs="Arial"/>
          <w:b/>
          <w:bCs/>
          <w:color w:val="4472C4" w:themeColor="accent1"/>
          <w:sz w:val="26"/>
          <w:szCs w:val="26"/>
        </w:rPr>
      </w:pPr>
    </w:p>
    <w:p w14:paraId="3D971164" w14:textId="75852465" w:rsidR="005757C1" w:rsidRPr="005757C1" w:rsidRDefault="005757C1" w:rsidP="005757C1">
      <w:pPr>
        <w:ind w:left="360" w:hanging="360"/>
        <w:contextualSpacing/>
        <w:jc w:val="center"/>
        <w:rPr>
          <w:rFonts w:ascii="Century Gothic" w:hAnsi="Century Gothic" w:cs="Arial"/>
          <w:b/>
          <w:bCs/>
          <w:color w:val="4472C4" w:themeColor="accent1"/>
          <w:sz w:val="26"/>
          <w:szCs w:val="26"/>
        </w:rPr>
      </w:pPr>
      <w:r w:rsidRPr="005757C1">
        <w:rPr>
          <w:rFonts w:ascii="Century Gothic" w:hAnsi="Century Gothic" w:cs="Arial"/>
          <w:b/>
          <w:bCs/>
          <w:color w:val="4472C4" w:themeColor="accent1"/>
          <w:sz w:val="26"/>
          <w:szCs w:val="26"/>
        </w:rPr>
        <w:t xml:space="preserve">How </w:t>
      </w:r>
      <w:r>
        <w:rPr>
          <w:rFonts w:ascii="Century Gothic" w:hAnsi="Century Gothic" w:cs="Arial"/>
          <w:b/>
          <w:bCs/>
          <w:color w:val="4472C4" w:themeColor="accent1"/>
          <w:sz w:val="26"/>
          <w:szCs w:val="26"/>
        </w:rPr>
        <w:t>T</w:t>
      </w:r>
      <w:r w:rsidRPr="005757C1">
        <w:rPr>
          <w:rFonts w:ascii="Century Gothic" w:hAnsi="Century Gothic" w:cs="Arial"/>
          <w:b/>
          <w:bCs/>
          <w:color w:val="4472C4" w:themeColor="accent1"/>
          <w:sz w:val="26"/>
          <w:szCs w:val="26"/>
        </w:rPr>
        <w:t xml:space="preserve">o </w:t>
      </w:r>
      <w:r>
        <w:rPr>
          <w:rFonts w:ascii="Century Gothic" w:hAnsi="Century Gothic" w:cs="Arial"/>
          <w:b/>
          <w:bCs/>
          <w:color w:val="4472C4" w:themeColor="accent1"/>
          <w:sz w:val="26"/>
          <w:szCs w:val="26"/>
        </w:rPr>
        <w:t>U</w:t>
      </w:r>
      <w:r w:rsidRPr="005757C1">
        <w:rPr>
          <w:rFonts w:ascii="Century Gothic" w:hAnsi="Century Gothic" w:cs="Arial"/>
          <w:b/>
          <w:bCs/>
          <w:color w:val="4472C4" w:themeColor="accent1"/>
          <w:sz w:val="26"/>
          <w:szCs w:val="26"/>
        </w:rPr>
        <w:t xml:space="preserve">se </w:t>
      </w:r>
      <w:r>
        <w:rPr>
          <w:rFonts w:ascii="Century Gothic" w:hAnsi="Century Gothic" w:cs="Arial"/>
          <w:b/>
          <w:bCs/>
          <w:color w:val="4472C4" w:themeColor="accent1"/>
          <w:sz w:val="26"/>
          <w:szCs w:val="26"/>
        </w:rPr>
        <w:t>T</w:t>
      </w:r>
      <w:r w:rsidRPr="005757C1">
        <w:rPr>
          <w:rFonts w:ascii="Century Gothic" w:hAnsi="Century Gothic" w:cs="Arial"/>
          <w:b/>
          <w:bCs/>
          <w:color w:val="4472C4" w:themeColor="accent1"/>
          <w:sz w:val="26"/>
          <w:szCs w:val="26"/>
        </w:rPr>
        <w:t xml:space="preserve">his </w:t>
      </w:r>
      <w:r>
        <w:rPr>
          <w:rFonts w:ascii="Century Gothic" w:hAnsi="Century Gothic" w:cs="Arial"/>
          <w:b/>
          <w:bCs/>
          <w:color w:val="4472C4" w:themeColor="accent1"/>
          <w:sz w:val="26"/>
          <w:szCs w:val="26"/>
        </w:rPr>
        <w:t>D</w:t>
      </w:r>
      <w:r w:rsidRPr="005757C1">
        <w:rPr>
          <w:rFonts w:ascii="Century Gothic" w:hAnsi="Century Gothic" w:cs="Arial"/>
          <w:b/>
          <w:bCs/>
          <w:color w:val="4472C4" w:themeColor="accent1"/>
          <w:sz w:val="26"/>
          <w:szCs w:val="26"/>
        </w:rPr>
        <w:t>ocument</w:t>
      </w:r>
    </w:p>
    <w:p w14:paraId="3D015A71" w14:textId="77777777" w:rsidR="00FF089B" w:rsidRDefault="00FF089B" w:rsidP="005757C1">
      <w:pPr>
        <w:contextualSpacing/>
        <w:rPr>
          <w:rFonts w:ascii="Arial" w:hAnsi="Arial" w:cs="Arial"/>
          <w:bCs/>
          <w:sz w:val="22"/>
          <w:szCs w:val="22"/>
        </w:rPr>
      </w:pPr>
    </w:p>
    <w:p w14:paraId="22029F72" w14:textId="69220439" w:rsidR="005757C1" w:rsidRPr="009848AE" w:rsidRDefault="009848AE" w:rsidP="00E10AA0">
      <w:pPr>
        <w:contextualSpacing/>
        <w:jc w:val="both"/>
        <w:rPr>
          <w:rFonts w:ascii="Arial" w:hAnsi="Arial" w:cs="Arial"/>
          <w:bCs/>
          <w:sz w:val="22"/>
          <w:szCs w:val="22"/>
        </w:rPr>
      </w:pPr>
      <w:r w:rsidRPr="009848AE">
        <w:rPr>
          <w:rFonts w:ascii="Arial" w:hAnsi="Arial" w:cs="Arial"/>
          <w:bCs/>
          <w:sz w:val="22"/>
          <w:szCs w:val="22"/>
        </w:rPr>
        <w:t xml:space="preserve">Public health department staff and community partners are important voices in this conversation and can share with their community members and multi-sector partners why the HPI is such a valuable tool for keeping equity at the forefront. </w:t>
      </w:r>
      <w:r w:rsidR="005757C1" w:rsidRPr="009848AE">
        <w:rPr>
          <w:rFonts w:ascii="Arial" w:hAnsi="Arial" w:cs="Arial"/>
          <w:b/>
          <w:bCs/>
          <w:sz w:val="22"/>
          <w:szCs w:val="22"/>
        </w:rPr>
        <w:t xml:space="preserve">Strong </w:t>
      </w:r>
      <w:hyperlink r:id="rId24" w:history="1">
        <w:r w:rsidR="005757C1" w:rsidRPr="009848AE">
          <w:rPr>
            <w:rStyle w:val="Hyperlink"/>
            <w:rFonts w:ascii="Arial" w:hAnsi="Arial" w:cs="Arial"/>
            <w:b/>
            <w:bCs/>
            <w:sz w:val="22"/>
            <w:szCs w:val="22"/>
          </w:rPr>
          <w:t>messages</w:t>
        </w:r>
      </w:hyperlink>
      <w:r w:rsidR="005757C1" w:rsidRPr="009848AE">
        <w:rPr>
          <w:rFonts w:ascii="Arial" w:hAnsi="Arial" w:cs="Arial"/>
          <w:b/>
          <w:bCs/>
          <w:sz w:val="22"/>
          <w:szCs w:val="22"/>
        </w:rPr>
        <w:t xml:space="preserve"> include:</w:t>
      </w:r>
      <w:r w:rsidR="005757C1" w:rsidRPr="009848AE">
        <w:rPr>
          <w:rFonts w:ascii="Arial" w:hAnsi="Arial" w:cs="Arial"/>
          <w:bCs/>
          <w:sz w:val="22"/>
          <w:szCs w:val="22"/>
        </w:rPr>
        <w:t xml:space="preserve"> 1) values, 2) solutions, 3) a brief description of the problem. Whether you </w:t>
      </w:r>
      <w:r w:rsidR="005E51DA" w:rsidRPr="009848AE">
        <w:rPr>
          <w:rFonts w:ascii="Arial" w:hAnsi="Arial" w:cs="Arial"/>
          <w:bCs/>
          <w:sz w:val="22"/>
          <w:szCs w:val="22"/>
        </w:rPr>
        <w:t xml:space="preserve">are </w:t>
      </w:r>
      <w:r w:rsidR="005757C1" w:rsidRPr="009848AE">
        <w:rPr>
          <w:rFonts w:ascii="Arial" w:hAnsi="Arial" w:cs="Arial"/>
          <w:bCs/>
          <w:sz w:val="22"/>
          <w:szCs w:val="22"/>
        </w:rPr>
        <w:t>talking to reporters, testifying to the Board of Supervisors, or creating a report, you will want to tailor your talking points by including a few key points from the background materials included in this document. As public health practitioners, we often spend more time talking about the problem. While it’s important to include a few key aspects, aim to focus your talking points on the solution and your values. A reminder—values are not a restatement of the problem or data</w:t>
      </w:r>
      <w:r w:rsidR="005E51DA" w:rsidRPr="009848AE">
        <w:rPr>
          <w:rFonts w:ascii="Arial" w:hAnsi="Arial" w:cs="Arial"/>
          <w:bCs/>
          <w:sz w:val="22"/>
          <w:szCs w:val="22"/>
        </w:rPr>
        <w:t>,</w:t>
      </w:r>
      <w:r w:rsidR="005757C1" w:rsidRPr="009848AE">
        <w:rPr>
          <w:rFonts w:ascii="Arial" w:hAnsi="Arial" w:cs="Arial"/>
          <w:bCs/>
          <w:sz w:val="22"/>
          <w:szCs w:val="22"/>
        </w:rPr>
        <w:t xml:space="preserve"> but are why we get up each day and do this work, like interconnectedness, justice, and dignity. If possible, try to have a specific solution that names the policymaker(s) and timeline.  </w:t>
      </w:r>
    </w:p>
    <w:p w14:paraId="2CB4753E" w14:textId="52C3CA7B" w:rsidR="005757C1" w:rsidRPr="009848AE" w:rsidRDefault="005757C1" w:rsidP="009848AE">
      <w:pPr>
        <w:contextualSpacing/>
        <w:rPr>
          <w:rFonts w:ascii="Arial" w:hAnsi="Arial" w:cs="Arial"/>
          <w:b/>
          <w:bCs/>
          <w:sz w:val="22"/>
          <w:szCs w:val="22"/>
        </w:rPr>
      </w:pPr>
    </w:p>
    <w:p w14:paraId="2E4ED5FB" w14:textId="1D6AAAB7" w:rsidR="009848AE" w:rsidRPr="009908EC" w:rsidRDefault="009848AE" w:rsidP="009908EC">
      <w:pPr>
        <w:contextualSpacing/>
        <w:jc w:val="center"/>
        <w:rPr>
          <w:rFonts w:ascii="Arial" w:eastAsiaTheme="minorHAnsi" w:hAnsi="Arial" w:cs="Arial"/>
          <w:b/>
          <w:bCs/>
        </w:rPr>
      </w:pPr>
      <w:r w:rsidRPr="009908EC">
        <w:rPr>
          <w:rFonts w:ascii="Arial" w:eastAsiaTheme="minorHAnsi" w:hAnsi="Arial" w:cs="Arial"/>
          <w:b/>
          <w:bCs/>
        </w:rPr>
        <w:t>Overarching message</w:t>
      </w:r>
    </w:p>
    <w:p w14:paraId="2F5110E8" w14:textId="77777777" w:rsidR="009908EC" w:rsidRPr="009848AE" w:rsidRDefault="009908EC" w:rsidP="009848AE">
      <w:pPr>
        <w:contextualSpacing/>
        <w:rPr>
          <w:rFonts w:ascii="Arial" w:eastAsiaTheme="minorHAnsi" w:hAnsi="Arial" w:cs="Arial"/>
          <w:b/>
          <w:bCs/>
          <w:sz w:val="22"/>
          <w:szCs w:val="22"/>
        </w:rPr>
      </w:pPr>
    </w:p>
    <w:p w14:paraId="2173DC5F" w14:textId="58FBBE16" w:rsidR="009848AE" w:rsidRDefault="009848AE" w:rsidP="00E10AA0">
      <w:pPr>
        <w:numPr>
          <w:ilvl w:val="0"/>
          <w:numId w:val="10"/>
        </w:numPr>
        <w:tabs>
          <w:tab w:val="clear" w:pos="720"/>
          <w:tab w:val="num" w:pos="360"/>
        </w:tabs>
        <w:spacing w:after="160" w:line="259" w:lineRule="auto"/>
        <w:ind w:left="360"/>
        <w:contextualSpacing/>
        <w:jc w:val="both"/>
        <w:rPr>
          <w:rFonts w:ascii="Arial" w:hAnsi="Arial" w:cs="Arial"/>
          <w:bCs/>
          <w:sz w:val="22"/>
          <w:szCs w:val="22"/>
        </w:rPr>
      </w:pPr>
      <w:r w:rsidRPr="009848AE">
        <w:rPr>
          <w:rFonts w:ascii="Arial" w:hAnsi="Arial" w:cs="Arial"/>
          <w:b/>
          <w:bCs/>
          <w:sz w:val="22"/>
          <w:szCs w:val="22"/>
        </w:rPr>
        <w:t>Problem:</w:t>
      </w:r>
      <w:r w:rsidRPr="009848AE">
        <w:rPr>
          <w:rFonts w:ascii="Arial" w:hAnsi="Arial" w:cs="Arial"/>
          <w:sz w:val="22"/>
          <w:szCs w:val="22"/>
        </w:rPr>
        <w:t xml:space="preserve"> </w:t>
      </w:r>
      <w:r w:rsidRPr="009848AE">
        <w:rPr>
          <w:rFonts w:ascii="Arial" w:hAnsi="Arial" w:cs="Arial"/>
          <w:bCs/>
          <w:sz w:val="22"/>
          <w:szCs w:val="22"/>
        </w:rPr>
        <w:t>COVID</w:t>
      </w:r>
      <w:r w:rsidR="009908EC">
        <w:rPr>
          <w:rFonts w:ascii="Arial" w:hAnsi="Arial" w:cs="Arial"/>
          <w:bCs/>
          <w:sz w:val="22"/>
          <w:szCs w:val="22"/>
        </w:rPr>
        <w:t>-19</w:t>
      </w:r>
      <w:r w:rsidRPr="009848AE">
        <w:rPr>
          <w:rFonts w:ascii="Arial" w:hAnsi="Arial" w:cs="Arial"/>
          <w:bCs/>
          <w:sz w:val="22"/>
          <w:szCs w:val="22"/>
        </w:rPr>
        <w:t xml:space="preserve"> exacerbates barriers to health that many communities are already facing. People need access to safe, stable housing, jobs with a living wage and workplace protections, and a clean and healthy environment to be healthy, especially if we are to overcome the impacts of COVID-19 in California. </w:t>
      </w:r>
    </w:p>
    <w:p w14:paraId="78875820" w14:textId="77777777" w:rsidR="009908EC" w:rsidRPr="009848AE" w:rsidRDefault="009908EC" w:rsidP="00E10AA0">
      <w:pPr>
        <w:spacing w:after="160" w:line="259" w:lineRule="auto"/>
        <w:ind w:left="360"/>
        <w:contextualSpacing/>
        <w:jc w:val="both"/>
        <w:rPr>
          <w:rFonts w:ascii="Arial" w:hAnsi="Arial" w:cs="Arial"/>
          <w:bCs/>
          <w:sz w:val="22"/>
          <w:szCs w:val="22"/>
        </w:rPr>
      </w:pPr>
    </w:p>
    <w:p w14:paraId="74D9E859" w14:textId="7B4CBEBB" w:rsidR="009848AE" w:rsidRDefault="009848AE" w:rsidP="00E10AA0">
      <w:pPr>
        <w:numPr>
          <w:ilvl w:val="0"/>
          <w:numId w:val="10"/>
        </w:numPr>
        <w:tabs>
          <w:tab w:val="clear" w:pos="720"/>
          <w:tab w:val="num" w:pos="0"/>
        </w:tabs>
        <w:spacing w:after="160" w:line="259" w:lineRule="auto"/>
        <w:ind w:left="360"/>
        <w:contextualSpacing/>
        <w:jc w:val="both"/>
        <w:rPr>
          <w:rFonts w:ascii="Arial" w:hAnsi="Arial" w:cs="Arial"/>
          <w:bCs/>
          <w:sz w:val="22"/>
          <w:szCs w:val="22"/>
        </w:rPr>
      </w:pPr>
      <w:r w:rsidRPr="009848AE">
        <w:rPr>
          <w:rFonts w:ascii="Arial" w:hAnsi="Arial" w:cs="Arial"/>
          <w:b/>
          <w:bCs/>
          <w:sz w:val="22"/>
          <w:szCs w:val="22"/>
        </w:rPr>
        <w:t>Values:</w:t>
      </w:r>
      <w:r w:rsidRPr="009848AE">
        <w:rPr>
          <w:rFonts w:ascii="Arial" w:hAnsi="Arial" w:cs="Arial"/>
          <w:sz w:val="22"/>
          <w:szCs w:val="22"/>
        </w:rPr>
        <w:t xml:space="preserve"> </w:t>
      </w:r>
      <w:r w:rsidRPr="009848AE">
        <w:rPr>
          <w:rFonts w:ascii="Arial" w:hAnsi="Arial" w:cs="Arial"/>
          <w:bCs/>
          <w:sz w:val="22"/>
          <w:szCs w:val="22"/>
        </w:rPr>
        <w:t xml:space="preserve">When we create a COVID-19 recovery plan for California that includes everyone and puts equity at the forefront, we can keep all members of our community safe and healthy. </w:t>
      </w:r>
    </w:p>
    <w:p w14:paraId="4A3DF68E" w14:textId="77777777" w:rsidR="009908EC" w:rsidRPr="009848AE" w:rsidRDefault="009908EC" w:rsidP="00E10AA0">
      <w:pPr>
        <w:spacing w:after="160" w:line="259" w:lineRule="auto"/>
        <w:contextualSpacing/>
        <w:jc w:val="both"/>
        <w:rPr>
          <w:rFonts w:ascii="Arial" w:hAnsi="Arial" w:cs="Arial"/>
          <w:bCs/>
          <w:sz w:val="22"/>
          <w:szCs w:val="22"/>
        </w:rPr>
      </w:pPr>
    </w:p>
    <w:p w14:paraId="122E675E" w14:textId="2B73B45C" w:rsidR="009908EC" w:rsidRPr="004C3ACE" w:rsidRDefault="009848AE" w:rsidP="00E10AA0">
      <w:pPr>
        <w:numPr>
          <w:ilvl w:val="0"/>
          <w:numId w:val="10"/>
        </w:numPr>
        <w:tabs>
          <w:tab w:val="clear" w:pos="720"/>
          <w:tab w:val="num" w:pos="0"/>
        </w:tabs>
        <w:spacing w:after="160" w:line="259" w:lineRule="auto"/>
        <w:ind w:left="360"/>
        <w:contextualSpacing/>
        <w:jc w:val="both"/>
        <w:rPr>
          <w:rFonts w:ascii="Arial" w:hAnsi="Arial" w:cs="Arial"/>
          <w:sz w:val="22"/>
          <w:szCs w:val="22"/>
        </w:rPr>
      </w:pPr>
      <w:r w:rsidRPr="009848AE">
        <w:rPr>
          <w:rFonts w:ascii="Arial" w:hAnsi="Arial" w:cs="Arial"/>
          <w:b/>
          <w:bCs/>
          <w:sz w:val="22"/>
          <w:szCs w:val="22"/>
        </w:rPr>
        <w:t>Solution:</w:t>
      </w:r>
      <w:r w:rsidRPr="009848AE">
        <w:rPr>
          <w:rFonts w:ascii="Arial" w:hAnsi="Arial" w:cs="Arial"/>
          <w:sz w:val="22"/>
          <w:szCs w:val="22"/>
        </w:rPr>
        <w:t xml:space="preserve"> Californians have a shared goal of ensuring that people are healthy and economically stable during COVID-19 and beyond. That is why a commitment to equity is more important than ever to California’s collective, safe recovery. </w:t>
      </w:r>
      <w:r w:rsidRPr="009848AE">
        <w:rPr>
          <w:rFonts w:ascii="Arial" w:hAnsi="Arial" w:cs="Arial"/>
          <w:bCs/>
          <w:sz w:val="22"/>
          <w:szCs w:val="22"/>
        </w:rPr>
        <w:t xml:space="preserve">The HPI helps us translate the value of equity into concrete actions and makes the complex interplay of social factors that shape our lives—like housing, jobs, and the environment—easier to understand and take action to address. </w:t>
      </w:r>
      <w:r w:rsidR="00D255B9" w:rsidRPr="007A025E">
        <w:rPr>
          <w:rFonts w:ascii="Arial" w:hAnsi="Arial" w:cs="Arial"/>
          <w:color w:val="000000" w:themeColor="text1"/>
          <w:sz w:val="22"/>
          <w:szCs w:val="22"/>
        </w:rPr>
        <w:t xml:space="preserve">The HPI can be used as a tool for better understanding the impact of </w:t>
      </w:r>
      <w:r w:rsidR="00E10AA0">
        <w:rPr>
          <w:rFonts w:ascii="Arial" w:hAnsi="Arial" w:cs="Arial"/>
          <w:color w:val="000000" w:themeColor="text1"/>
          <w:sz w:val="22"/>
          <w:szCs w:val="22"/>
        </w:rPr>
        <w:t xml:space="preserve">inequitable community conditions </w:t>
      </w:r>
      <w:r w:rsidR="00D255B9" w:rsidRPr="007A025E">
        <w:rPr>
          <w:rFonts w:ascii="Arial" w:hAnsi="Arial" w:cs="Arial"/>
          <w:color w:val="000000" w:themeColor="text1"/>
          <w:sz w:val="22"/>
          <w:szCs w:val="22"/>
        </w:rPr>
        <w:t xml:space="preserve">on COVID-19 </w:t>
      </w:r>
      <w:r w:rsidR="00E10AA0">
        <w:rPr>
          <w:rFonts w:ascii="Arial" w:hAnsi="Arial" w:cs="Arial"/>
          <w:color w:val="000000" w:themeColor="text1"/>
          <w:sz w:val="22"/>
          <w:szCs w:val="22"/>
        </w:rPr>
        <w:t xml:space="preserve">and other health </w:t>
      </w:r>
      <w:r w:rsidR="00D255B9" w:rsidRPr="007A025E">
        <w:rPr>
          <w:rFonts w:ascii="Arial" w:hAnsi="Arial" w:cs="Arial"/>
          <w:color w:val="000000" w:themeColor="text1"/>
          <w:sz w:val="22"/>
          <w:szCs w:val="22"/>
        </w:rPr>
        <w:t>outcomes and positivel</w:t>
      </w:r>
      <w:r w:rsidR="005A2729">
        <w:rPr>
          <w:rFonts w:ascii="Arial" w:hAnsi="Arial" w:cs="Arial"/>
          <w:color w:val="000000" w:themeColor="text1"/>
          <w:sz w:val="22"/>
          <w:szCs w:val="22"/>
        </w:rPr>
        <w:t>y</w:t>
      </w:r>
      <w:r w:rsidR="00D255B9" w:rsidRPr="007A025E">
        <w:rPr>
          <w:rFonts w:ascii="Arial" w:hAnsi="Arial" w:cs="Arial"/>
          <w:color w:val="000000" w:themeColor="text1"/>
          <w:sz w:val="22"/>
          <w:szCs w:val="22"/>
        </w:rPr>
        <w:t xml:space="preserve"> support a community’s response to addressing the disproportionate impacts </w:t>
      </w:r>
      <w:r w:rsidR="005A2729">
        <w:rPr>
          <w:rFonts w:ascii="Arial" w:hAnsi="Arial" w:cs="Arial"/>
          <w:color w:val="000000" w:themeColor="text1"/>
          <w:sz w:val="22"/>
          <w:szCs w:val="22"/>
        </w:rPr>
        <w:t>of the pandemic.</w:t>
      </w:r>
      <w:r w:rsidR="00D255B9">
        <w:rPr>
          <w:rFonts w:ascii="Arial" w:hAnsi="Arial" w:cs="Arial"/>
          <w:color w:val="000000" w:themeColor="text1"/>
          <w:sz w:val="22"/>
          <w:szCs w:val="22"/>
        </w:rPr>
        <w:t xml:space="preserve"> </w:t>
      </w:r>
      <w:r w:rsidRPr="009848AE">
        <w:rPr>
          <w:rFonts w:ascii="Arial" w:hAnsi="Arial" w:cs="Arial"/>
          <w:bCs/>
          <w:sz w:val="22"/>
          <w:szCs w:val="22"/>
        </w:rPr>
        <w:t>The HPI can support keeping equity at the forefront as we work together to achieve a more just, equitable California.</w:t>
      </w:r>
    </w:p>
    <w:p w14:paraId="76F405A4" w14:textId="77777777" w:rsidR="005A2729" w:rsidRDefault="005A2729" w:rsidP="005A2729">
      <w:pPr>
        <w:contextualSpacing/>
        <w:rPr>
          <w:rFonts w:ascii="Century Gothic" w:hAnsi="Century Gothic"/>
          <w:b/>
          <w:color w:val="4472C4" w:themeColor="accent1"/>
          <w:sz w:val="26"/>
          <w:szCs w:val="26"/>
        </w:rPr>
      </w:pPr>
    </w:p>
    <w:p w14:paraId="04D2B7D1" w14:textId="11DEBE4B" w:rsidR="005A2729" w:rsidRDefault="005A2729" w:rsidP="00FF089B">
      <w:pPr>
        <w:contextualSpacing/>
        <w:jc w:val="center"/>
        <w:rPr>
          <w:rFonts w:ascii="Century Gothic" w:hAnsi="Century Gothic"/>
          <w:b/>
          <w:color w:val="4472C4" w:themeColor="accent1"/>
          <w:sz w:val="26"/>
          <w:szCs w:val="26"/>
        </w:rPr>
      </w:pPr>
    </w:p>
    <w:p w14:paraId="2936EFFB" w14:textId="77777777" w:rsidR="00155D23" w:rsidRDefault="00155D23" w:rsidP="00FF089B">
      <w:pPr>
        <w:contextualSpacing/>
        <w:jc w:val="center"/>
        <w:rPr>
          <w:rFonts w:ascii="Century Gothic" w:hAnsi="Century Gothic"/>
          <w:b/>
          <w:color w:val="4472C4" w:themeColor="accent1"/>
          <w:sz w:val="26"/>
          <w:szCs w:val="26"/>
        </w:rPr>
      </w:pPr>
    </w:p>
    <w:p w14:paraId="61E156B9" w14:textId="473CDC0D" w:rsidR="0008365C" w:rsidRDefault="005757C1" w:rsidP="00FF089B">
      <w:pPr>
        <w:contextualSpacing/>
        <w:jc w:val="center"/>
        <w:rPr>
          <w:sz w:val="28"/>
          <w:szCs w:val="28"/>
        </w:rPr>
      </w:pPr>
      <w:r>
        <w:rPr>
          <w:rFonts w:ascii="Century Gothic" w:hAnsi="Century Gothic"/>
          <w:b/>
          <w:color w:val="4472C4" w:themeColor="accent1"/>
          <w:sz w:val="26"/>
          <w:szCs w:val="26"/>
        </w:rPr>
        <w:lastRenderedPageBreak/>
        <w:t xml:space="preserve">Background </w:t>
      </w:r>
      <w:r w:rsidR="009848AE">
        <w:rPr>
          <w:rFonts w:ascii="Century Gothic" w:hAnsi="Century Gothic"/>
          <w:b/>
          <w:color w:val="4472C4" w:themeColor="accent1"/>
          <w:sz w:val="26"/>
          <w:szCs w:val="26"/>
        </w:rPr>
        <w:t xml:space="preserve">HPI </w:t>
      </w:r>
      <w:r>
        <w:rPr>
          <w:rFonts w:ascii="Century Gothic" w:hAnsi="Century Gothic"/>
          <w:b/>
          <w:color w:val="4472C4" w:themeColor="accent1"/>
          <w:sz w:val="26"/>
          <w:szCs w:val="26"/>
        </w:rPr>
        <w:t xml:space="preserve">Information That Can Be Tailored </w:t>
      </w:r>
      <w:r w:rsidR="009908EC">
        <w:rPr>
          <w:rFonts w:ascii="Century Gothic" w:hAnsi="Century Gothic"/>
          <w:b/>
          <w:color w:val="4472C4" w:themeColor="accent1"/>
          <w:sz w:val="26"/>
          <w:szCs w:val="26"/>
        </w:rPr>
        <w:t>f</w:t>
      </w:r>
      <w:r>
        <w:rPr>
          <w:rFonts w:ascii="Century Gothic" w:hAnsi="Century Gothic"/>
          <w:b/>
          <w:color w:val="4472C4" w:themeColor="accent1"/>
          <w:sz w:val="26"/>
          <w:szCs w:val="26"/>
        </w:rPr>
        <w:t xml:space="preserve">or </w:t>
      </w:r>
      <w:r w:rsidR="000D0357" w:rsidRPr="00373469">
        <w:rPr>
          <w:rFonts w:ascii="Century Gothic" w:hAnsi="Century Gothic"/>
          <w:b/>
          <w:color w:val="4472C4" w:themeColor="accent1"/>
          <w:sz w:val="26"/>
          <w:szCs w:val="26"/>
        </w:rPr>
        <w:t>Talking Points</w:t>
      </w:r>
    </w:p>
    <w:p w14:paraId="405E0BA3" w14:textId="77777777" w:rsidR="00FF089B" w:rsidRPr="00FF089B" w:rsidRDefault="00FF089B" w:rsidP="00FF089B">
      <w:pPr>
        <w:contextualSpacing/>
        <w:jc w:val="center"/>
        <w:rPr>
          <w:sz w:val="28"/>
          <w:szCs w:val="28"/>
        </w:rPr>
      </w:pPr>
    </w:p>
    <w:p w14:paraId="53E0ECDD" w14:textId="1B43EAC7" w:rsidR="009848AE" w:rsidRPr="009848AE" w:rsidRDefault="009848AE" w:rsidP="009848AE">
      <w:pPr>
        <w:contextualSpacing/>
        <w:rPr>
          <w:rFonts w:ascii="Arial" w:eastAsiaTheme="minorHAnsi" w:hAnsi="Arial" w:cs="Arial"/>
          <w:b/>
          <w:bCs/>
          <w:sz w:val="22"/>
          <w:szCs w:val="22"/>
        </w:rPr>
      </w:pPr>
      <w:r w:rsidRPr="009848AE">
        <w:rPr>
          <w:rFonts w:ascii="Arial" w:eastAsiaTheme="minorHAnsi" w:hAnsi="Arial" w:cs="Arial"/>
          <w:b/>
          <w:bCs/>
          <w:sz w:val="22"/>
          <w:szCs w:val="22"/>
        </w:rPr>
        <w:t xml:space="preserve">Background on the Impact of “Place” on Health (The Problem) </w:t>
      </w:r>
    </w:p>
    <w:p w14:paraId="3BDEDF79" w14:textId="77777777" w:rsidR="009908EC" w:rsidRPr="009908EC" w:rsidRDefault="009908EC" w:rsidP="005A2729">
      <w:pPr>
        <w:numPr>
          <w:ilvl w:val="0"/>
          <w:numId w:val="11"/>
        </w:numPr>
        <w:contextualSpacing/>
        <w:jc w:val="both"/>
        <w:rPr>
          <w:rFonts w:ascii="Arial" w:eastAsiaTheme="minorHAnsi" w:hAnsi="Arial" w:cs="Arial"/>
          <w:sz w:val="22"/>
          <w:szCs w:val="22"/>
        </w:rPr>
      </w:pPr>
      <w:bookmarkStart w:id="0" w:name="_Hlk51309389"/>
      <w:r w:rsidRPr="009908EC">
        <w:rPr>
          <w:rFonts w:ascii="Arial" w:eastAsiaTheme="minorHAnsi" w:hAnsi="Arial" w:cs="Arial"/>
          <w:sz w:val="22"/>
          <w:szCs w:val="22"/>
        </w:rPr>
        <w:t xml:space="preserve">Every Californian should have the opportunity to live a full, healthy life. However, in the US, and here in California, not everyone has the same opportunities to be healthy. </w:t>
      </w:r>
    </w:p>
    <w:bookmarkEnd w:id="0"/>
    <w:p w14:paraId="7030022A" w14:textId="77777777" w:rsidR="009908EC" w:rsidRPr="009908EC" w:rsidRDefault="009908EC" w:rsidP="005A2729">
      <w:pPr>
        <w:numPr>
          <w:ilvl w:val="0"/>
          <w:numId w:val="11"/>
        </w:numPr>
        <w:contextualSpacing/>
        <w:jc w:val="both"/>
        <w:rPr>
          <w:rFonts w:ascii="Arial" w:eastAsiaTheme="minorHAnsi" w:hAnsi="Arial" w:cs="Arial"/>
          <w:sz w:val="22"/>
          <w:szCs w:val="22"/>
        </w:rPr>
      </w:pPr>
      <w:r w:rsidRPr="009908EC">
        <w:rPr>
          <w:rFonts w:ascii="Arial" w:eastAsiaTheme="minorHAnsi" w:hAnsi="Arial" w:cs="Arial"/>
          <w:sz w:val="22"/>
          <w:szCs w:val="22"/>
        </w:rPr>
        <w:t>Research consistently tells us that where we live actually plays a bigger role in determining our health outcomes than our genetics. What surrounds us, shapes us. This includes factors like our access to safe, affordable housing, open park and green space, a clean environment, and a livable wage job, which actually determines close to 50% of our health outcomes.</w:t>
      </w:r>
    </w:p>
    <w:p w14:paraId="7CD003F5" w14:textId="77777777" w:rsidR="009908EC" w:rsidRPr="009908EC" w:rsidRDefault="009908EC" w:rsidP="005A2729">
      <w:pPr>
        <w:numPr>
          <w:ilvl w:val="0"/>
          <w:numId w:val="11"/>
        </w:numPr>
        <w:contextualSpacing/>
        <w:jc w:val="both"/>
        <w:rPr>
          <w:rFonts w:ascii="Arial" w:eastAsiaTheme="minorHAnsi" w:hAnsi="Arial" w:cs="Arial"/>
          <w:sz w:val="22"/>
          <w:szCs w:val="22"/>
        </w:rPr>
      </w:pPr>
      <w:r w:rsidRPr="009908EC">
        <w:rPr>
          <w:rFonts w:ascii="Arial" w:eastAsiaTheme="minorHAnsi" w:hAnsi="Arial" w:cs="Arial"/>
          <w:sz w:val="22"/>
          <w:szCs w:val="22"/>
        </w:rPr>
        <w:t>In California, like the rest of our country, we have had centuries of policies and practices that have created barriers to stability and health. From Jim Crow, to redlining, to recent predatory lending during the foreclosure crisis, Black, Latinx, Indigenous and other communities of color were pushed into under-resourced, highly segregated neighborhoods, and locked out of wealth building opportunities that were afforded to many White Americans. The effects of these policies are still felt today, as many of the same communities still disproportionately face worse economic, environmental, and health outcomes, including during COVID-19.</w:t>
      </w:r>
      <w:r w:rsidRPr="009908EC" w:rsidDel="009D5941">
        <w:rPr>
          <w:rFonts w:ascii="Arial" w:eastAsiaTheme="minorHAnsi" w:hAnsi="Arial" w:cs="Arial"/>
          <w:sz w:val="22"/>
          <w:szCs w:val="22"/>
        </w:rPr>
        <w:t xml:space="preserve"> </w:t>
      </w:r>
      <w:r w:rsidRPr="009908EC">
        <w:rPr>
          <w:rFonts w:ascii="Arial" w:eastAsiaTheme="minorHAnsi" w:hAnsi="Arial" w:cs="Arial"/>
          <w:sz w:val="22"/>
          <w:szCs w:val="22"/>
        </w:rPr>
        <w:t xml:space="preserve">As a consequence, communities of color and low-income communities are often the most vulnerable to the negative health impacts of public health and climate emergencies, like COVID-19. </w:t>
      </w:r>
    </w:p>
    <w:p w14:paraId="5962F05F" w14:textId="77777777" w:rsidR="009848AE" w:rsidRPr="009848AE" w:rsidRDefault="009848AE" w:rsidP="005A2729">
      <w:pPr>
        <w:ind w:left="720"/>
        <w:contextualSpacing/>
        <w:jc w:val="both"/>
        <w:rPr>
          <w:rFonts w:ascii="Arial" w:eastAsiaTheme="minorHAnsi" w:hAnsi="Arial" w:cs="Arial"/>
          <w:sz w:val="22"/>
          <w:szCs w:val="22"/>
        </w:rPr>
      </w:pPr>
    </w:p>
    <w:p w14:paraId="43AC56AF" w14:textId="12B1B481" w:rsidR="009848AE" w:rsidRPr="009848AE" w:rsidRDefault="009848AE" w:rsidP="009848AE">
      <w:pPr>
        <w:contextualSpacing/>
        <w:rPr>
          <w:rFonts w:ascii="Arial" w:eastAsiaTheme="minorHAnsi" w:hAnsi="Arial" w:cs="Arial"/>
          <w:b/>
          <w:bCs/>
          <w:sz w:val="22"/>
          <w:szCs w:val="22"/>
        </w:rPr>
      </w:pPr>
      <w:r>
        <w:rPr>
          <w:rFonts w:ascii="Arial" w:eastAsiaTheme="minorHAnsi" w:hAnsi="Arial" w:cs="Arial"/>
          <w:b/>
          <w:bCs/>
          <w:sz w:val="22"/>
          <w:szCs w:val="22"/>
        </w:rPr>
        <w:t xml:space="preserve">Background on </w:t>
      </w:r>
      <w:r w:rsidRPr="009848AE">
        <w:rPr>
          <w:rFonts w:ascii="Arial" w:eastAsiaTheme="minorHAnsi" w:hAnsi="Arial" w:cs="Arial"/>
          <w:b/>
          <w:bCs/>
          <w:sz w:val="22"/>
          <w:szCs w:val="22"/>
        </w:rPr>
        <w:t xml:space="preserve">The HPI as a Tool for Advancing Equity (Values) </w:t>
      </w:r>
    </w:p>
    <w:p w14:paraId="0703E430" w14:textId="77777777" w:rsidR="009908EC" w:rsidRPr="009908EC" w:rsidRDefault="009908EC" w:rsidP="005A2729">
      <w:pPr>
        <w:numPr>
          <w:ilvl w:val="0"/>
          <w:numId w:val="13"/>
        </w:numPr>
        <w:contextualSpacing/>
        <w:jc w:val="both"/>
        <w:rPr>
          <w:rFonts w:ascii="Arial" w:hAnsi="Arial" w:cs="Arial"/>
          <w:b/>
          <w:bCs/>
          <w:color w:val="000000"/>
          <w:sz w:val="22"/>
          <w:szCs w:val="22"/>
        </w:rPr>
      </w:pPr>
      <w:r w:rsidRPr="009908EC">
        <w:rPr>
          <w:rFonts w:ascii="Arial" w:hAnsi="Arial" w:cs="Arial"/>
          <w:color w:val="000000"/>
          <w:sz w:val="22"/>
          <w:szCs w:val="22"/>
        </w:rPr>
        <w:t>The HPI was developed to explore and change those community conditions that impact life expectancy. The purpose of the HPI is to prioritize public and private investments, resources and programs to address structural inequities—inequities that require both short and long-term solutions. We know that many of the changes we want to see in COVID-19 outcomes for low-income communities and communities of color, as well as many other inequitable health outcomes, cannot be fixed solely in the short-term. We also know that investing in addressing these inequities in both the short and long-term is essential for California’s recovery and as we look to critical issues we must tackle in the future, such as wildfires.</w:t>
      </w:r>
    </w:p>
    <w:p w14:paraId="3B55AAFA" w14:textId="77777777" w:rsidR="009908EC" w:rsidRPr="009908EC" w:rsidRDefault="009908EC" w:rsidP="005A2729">
      <w:pPr>
        <w:numPr>
          <w:ilvl w:val="0"/>
          <w:numId w:val="13"/>
        </w:numPr>
        <w:contextualSpacing/>
        <w:jc w:val="both"/>
        <w:rPr>
          <w:rFonts w:ascii="Arial" w:hAnsi="Arial" w:cs="Arial"/>
          <w:b/>
          <w:bCs/>
          <w:color w:val="000000"/>
          <w:sz w:val="22"/>
          <w:szCs w:val="22"/>
        </w:rPr>
      </w:pPr>
      <w:bookmarkStart w:id="1" w:name="_Hlk51309635"/>
      <w:r w:rsidRPr="009908EC">
        <w:rPr>
          <w:rFonts w:ascii="Arial" w:hAnsi="Arial" w:cs="Arial"/>
          <w:color w:val="000000"/>
          <w:sz w:val="22"/>
          <w:szCs w:val="22"/>
        </w:rPr>
        <w:t>In the short term, we know that preventing infection will take a concerted, multi-sector effort focused on a multitude of strategies aimed at addressing the true root cause drivers of COVID-19 infections, including, but not limited to, ensuring safe working conditions and robust PPE distribution for essential workers, providing additional quarantine and isolation housing for both individuals and their families (when needed), expanding paid sick and family leave for those individuals who do become infected and their family members, and ensuring robust testing access for those most vulnerable to the impacts of COVID-19.</w:t>
      </w:r>
    </w:p>
    <w:p w14:paraId="608D12BC" w14:textId="77777777" w:rsidR="009908EC" w:rsidRPr="009908EC" w:rsidRDefault="009908EC" w:rsidP="005A2729">
      <w:pPr>
        <w:numPr>
          <w:ilvl w:val="0"/>
          <w:numId w:val="13"/>
        </w:numPr>
        <w:contextualSpacing/>
        <w:jc w:val="both"/>
        <w:rPr>
          <w:rFonts w:ascii="Arial" w:hAnsi="Arial" w:cs="Arial"/>
          <w:b/>
          <w:bCs/>
          <w:color w:val="000000"/>
          <w:sz w:val="22"/>
          <w:szCs w:val="22"/>
        </w:rPr>
      </w:pPr>
      <w:r w:rsidRPr="009908EC">
        <w:rPr>
          <w:rFonts w:ascii="Arial" w:hAnsi="Arial" w:cs="Arial"/>
          <w:color w:val="000000"/>
          <w:sz w:val="22"/>
          <w:szCs w:val="22"/>
        </w:rPr>
        <w:t>In the long-term, lowering positivity rates and improving health outcomes for disproportionately impacted communities requires investments and strategies focused on structural inequities: expanding affordable, safe housing, robust investments in local health department infrastructure and climate resiliency, and expanded, safe employment opportunities.</w:t>
      </w:r>
    </w:p>
    <w:bookmarkEnd w:id="1"/>
    <w:p w14:paraId="1F148EF0" w14:textId="3ECC08FE" w:rsidR="009908EC" w:rsidRPr="009908EC" w:rsidRDefault="009908EC" w:rsidP="005A2729">
      <w:pPr>
        <w:numPr>
          <w:ilvl w:val="0"/>
          <w:numId w:val="13"/>
        </w:numPr>
        <w:contextualSpacing/>
        <w:jc w:val="both"/>
        <w:rPr>
          <w:rFonts w:ascii="Arial" w:hAnsi="Arial" w:cs="Arial"/>
          <w:color w:val="000000"/>
          <w:sz w:val="22"/>
          <w:szCs w:val="22"/>
        </w:rPr>
      </w:pPr>
      <w:r w:rsidRPr="009908EC">
        <w:rPr>
          <w:rFonts w:ascii="Arial" w:hAnsi="Arial" w:cs="Arial"/>
          <w:color w:val="000000"/>
          <w:sz w:val="22"/>
          <w:szCs w:val="22"/>
        </w:rPr>
        <w:t>The HPI can be used as a tool for better understanding the impact of community conditions on COVID-19</w:t>
      </w:r>
      <w:r w:rsidR="00B72156">
        <w:rPr>
          <w:rFonts w:ascii="Arial" w:hAnsi="Arial" w:cs="Arial"/>
          <w:color w:val="000000"/>
          <w:sz w:val="22"/>
          <w:szCs w:val="22"/>
        </w:rPr>
        <w:t xml:space="preserve"> and other health</w:t>
      </w:r>
      <w:r w:rsidRPr="009908EC">
        <w:rPr>
          <w:rFonts w:ascii="Arial" w:hAnsi="Arial" w:cs="Arial"/>
          <w:color w:val="000000"/>
          <w:sz w:val="22"/>
          <w:szCs w:val="22"/>
        </w:rPr>
        <w:t xml:space="preserve"> outcomes and positively supporting a community’s response to addressing the disproportionate impacts of COVID-19 on their communities. </w:t>
      </w:r>
    </w:p>
    <w:p w14:paraId="72BC6274" w14:textId="77777777" w:rsidR="009908EC" w:rsidRPr="009908EC" w:rsidRDefault="009908EC" w:rsidP="005A2729">
      <w:pPr>
        <w:numPr>
          <w:ilvl w:val="0"/>
          <w:numId w:val="13"/>
        </w:numPr>
        <w:contextualSpacing/>
        <w:jc w:val="both"/>
        <w:rPr>
          <w:rFonts w:ascii="Arial" w:hAnsi="Arial" w:cs="Arial"/>
          <w:color w:val="000000"/>
          <w:sz w:val="22"/>
          <w:szCs w:val="22"/>
        </w:rPr>
      </w:pPr>
      <w:bookmarkStart w:id="2" w:name="_Hlk51574323"/>
      <w:r w:rsidRPr="009908EC">
        <w:rPr>
          <w:rFonts w:ascii="Arial" w:hAnsi="Arial" w:cs="Arial"/>
          <w:color w:val="000000"/>
          <w:sz w:val="22"/>
          <w:szCs w:val="22"/>
        </w:rPr>
        <w:t>Californians have a shared goal of ensuring that people are healthy and economically stable during COVID-19 and beyond. That’s why a commitment to equity is more important than ever to California’s collective, safe recovery.</w:t>
      </w:r>
    </w:p>
    <w:bookmarkEnd w:id="2"/>
    <w:p w14:paraId="79591D41" w14:textId="573F25D7" w:rsidR="004C3ACE" w:rsidRDefault="004C3ACE" w:rsidP="009848AE">
      <w:pPr>
        <w:contextualSpacing/>
        <w:rPr>
          <w:rFonts w:ascii="Arial" w:eastAsiaTheme="minorHAnsi" w:hAnsi="Arial" w:cs="Arial"/>
          <w:b/>
          <w:bCs/>
          <w:sz w:val="22"/>
          <w:szCs w:val="22"/>
        </w:rPr>
      </w:pPr>
    </w:p>
    <w:p w14:paraId="2C9B9F58" w14:textId="693CBE92" w:rsidR="005A2729" w:rsidRDefault="005A2729" w:rsidP="009848AE">
      <w:pPr>
        <w:contextualSpacing/>
        <w:rPr>
          <w:rFonts w:ascii="Arial" w:eastAsiaTheme="minorHAnsi" w:hAnsi="Arial" w:cs="Arial"/>
          <w:b/>
          <w:bCs/>
          <w:sz w:val="22"/>
          <w:szCs w:val="22"/>
        </w:rPr>
      </w:pPr>
    </w:p>
    <w:p w14:paraId="5A67CB71" w14:textId="5AF4972D" w:rsidR="005A2729" w:rsidRDefault="005A2729" w:rsidP="009848AE">
      <w:pPr>
        <w:contextualSpacing/>
        <w:rPr>
          <w:rFonts w:ascii="Arial" w:eastAsiaTheme="minorHAnsi" w:hAnsi="Arial" w:cs="Arial"/>
          <w:b/>
          <w:bCs/>
          <w:sz w:val="22"/>
          <w:szCs w:val="22"/>
        </w:rPr>
      </w:pPr>
    </w:p>
    <w:p w14:paraId="74586D1D" w14:textId="7F5EF495" w:rsidR="005A2729" w:rsidRDefault="005A2729" w:rsidP="009848AE">
      <w:pPr>
        <w:contextualSpacing/>
        <w:rPr>
          <w:rFonts w:ascii="Arial" w:eastAsiaTheme="minorHAnsi" w:hAnsi="Arial" w:cs="Arial"/>
          <w:b/>
          <w:bCs/>
          <w:sz w:val="22"/>
          <w:szCs w:val="22"/>
        </w:rPr>
      </w:pPr>
    </w:p>
    <w:p w14:paraId="78D9EC7D" w14:textId="5B527B0F" w:rsidR="005A2729" w:rsidRDefault="005A2729" w:rsidP="009848AE">
      <w:pPr>
        <w:contextualSpacing/>
        <w:rPr>
          <w:rFonts w:ascii="Arial" w:eastAsiaTheme="minorHAnsi" w:hAnsi="Arial" w:cs="Arial"/>
          <w:b/>
          <w:bCs/>
          <w:sz w:val="22"/>
          <w:szCs w:val="22"/>
        </w:rPr>
      </w:pPr>
    </w:p>
    <w:p w14:paraId="04A00CE3" w14:textId="3BA13485" w:rsidR="005A2729" w:rsidRDefault="005A2729" w:rsidP="009848AE">
      <w:pPr>
        <w:contextualSpacing/>
        <w:rPr>
          <w:rFonts w:ascii="Arial" w:eastAsiaTheme="minorHAnsi" w:hAnsi="Arial" w:cs="Arial"/>
          <w:b/>
          <w:bCs/>
          <w:sz w:val="22"/>
          <w:szCs w:val="22"/>
        </w:rPr>
      </w:pPr>
    </w:p>
    <w:p w14:paraId="32689EF8" w14:textId="77777777" w:rsidR="00155D23" w:rsidRDefault="00155D23" w:rsidP="009848AE">
      <w:pPr>
        <w:contextualSpacing/>
        <w:rPr>
          <w:rFonts w:ascii="Arial" w:eastAsiaTheme="minorHAnsi" w:hAnsi="Arial" w:cs="Arial"/>
          <w:b/>
          <w:bCs/>
          <w:sz w:val="22"/>
          <w:szCs w:val="22"/>
        </w:rPr>
      </w:pPr>
      <w:bookmarkStart w:id="3" w:name="_GoBack"/>
      <w:bookmarkEnd w:id="3"/>
    </w:p>
    <w:p w14:paraId="1320FA07" w14:textId="48EE9750" w:rsidR="009848AE" w:rsidRPr="009848AE" w:rsidRDefault="009848AE" w:rsidP="009848AE">
      <w:pPr>
        <w:contextualSpacing/>
        <w:rPr>
          <w:rFonts w:ascii="Arial" w:eastAsiaTheme="minorHAnsi" w:hAnsi="Arial" w:cs="Arial"/>
          <w:b/>
          <w:bCs/>
          <w:sz w:val="22"/>
          <w:szCs w:val="22"/>
        </w:rPr>
      </w:pPr>
      <w:r w:rsidRPr="009848AE">
        <w:rPr>
          <w:rFonts w:ascii="Arial" w:eastAsiaTheme="minorHAnsi" w:hAnsi="Arial" w:cs="Arial"/>
          <w:b/>
          <w:bCs/>
          <w:sz w:val="22"/>
          <w:szCs w:val="22"/>
        </w:rPr>
        <w:lastRenderedPageBreak/>
        <w:t>Background on the Healthy Places Index (HPI) (The Solution)</w:t>
      </w:r>
    </w:p>
    <w:p w14:paraId="7324A2F3" w14:textId="77777777" w:rsidR="009848AE" w:rsidRPr="009848AE" w:rsidRDefault="009848AE" w:rsidP="005A2729">
      <w:pPr>
        <w:numPr>
          <w:ilvl w:val="0"/>
          <w:numId w:val="11"/>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The California Healthy Places Index (HPI) is a tool, developed by the Public Health Alliance of Southern California (Alliance), to assist you in identifying local socioeconomic and environmental factors that influence health outcomes and predict life expectancy. It offers detail on social, economic, and environmental conditions impacting communities across California and is currently being used in critical policy and planning decisions from the neighborhood to the state level, especially when decisionmakers are committed to keeping equity at the forefront and moving towards a healthier California for all. </w:t>
      </w:r>
    </w:p>
    <w:p w14:paraId="5F8C3E42" w14:textId="77777777" w:rsidR="009848AE" w:rsidRPr="009848AE" w:rsidRDefault="009848AE" w:rsidP="005A2729">
      <w:pPr>
        <w:numPr>
          <w:ilvl w:val="0"/>
          <w:numId w:val="11"/>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The HPI also allows you to compare community conditions across the state, with the goal of eliminating health inequities and improving health outcomes for all Californians. </w:t>
      </w:r>
    </w:p>
    <w:p w14:paraId="223D5F17" w14:textId="77777777" w:rsidR="009848AE" w:rsidRPr="009848AE" w:rsidRDefault="009848AE" w:rsidP="005A2729">
      <w:pPr>
        <w:numPr>
          <w:ilvl w:val="0"/>
          <w:numId w:val="11"/>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The HPI provides overall scores and more detailed data on specific policy action areas that research has definitively shown to shape health, like housing, transportation, education and more. We know these are the same factors that shape how COVID is impacting our communities. The </w:t>
      </w:r>
      <w:hyperlink r:id="rId25" w:history="1">
        <w:r w:rsidRPr="009848AE">
          <w:rPr>
            <w:rFonts w:ascii="Arial" w:eastAsiaTheme="minorHAnsi" w:hAnsi="Arial" w:cs="Arial"/>
            <w:color w:val="0563C1" w:themeColor="hyperlink"/>
            <w:sz w:val="22"/>
            <w:szCs w:val="22"/>
            <w:u w:val="single"/>
          </w:rPr>
          <w:t>Healthy Places Index website</w:t>
        </w:r>
      </w:hyperlink>
      <w:r w:rsidRPr="009848AE">
        <w:rPr>
          <w:rFonts w:ascii="Arial" w:eastAsiaTheme="minorHAnsi" w:hAnsi="Arial" w:cs="Arial"/>
          <w:sz w:val="22"/>
          <w:szCs w:val="22"/>
        </w:rPr>
        <w:t xml:space="preserve"> provides other resources to help understand the tool and the data included, including an interactive map, graphs, data tables, and policy guides with practical solutions for improving community conditions and health (see also the HPI </w:t>
      </w:r>
      <w:hyperlink r:id="rId26" w:history="1">
        <w:r w:rsidRPr="009848AE">
          <w:rPr>
            <w:rFonts w:ascii="Arial" w:eastAsiaTheme="minorHAnsi" w:hAnsi="Arial" w:cs="Arial"/>
            <w:color w:val="0563C1" w:themeColor="hyperlink"/>
            <w:sz w:val="22"/>
            <w:szCs w:val="22"/>
            <w:u w:val="single"/>
          </w:rPr>
          <w:t>map introductory demo video</w:t>
        </w:r>
      </w:hyperlink>
      <w:r w:rsidRPr="009848AE">
        <w:rPr>
          <w:rFonts w:ascii="Arial" w:eastAsiaTheme="minorHAnsi" w:hAnsi="Arial" w:cs="Arial"/>
          <w:sz w:val="22"/>
          <w:szCs w:val="22"/>
        </w:rPr>
        <w:t>).</w:t>
      </w:r>
    </w:p>
    <w:p w14:paraId="2775CB86" w14:textId="77777777" w:rsidR="009848AE" w:rsidRPr="009848AE" w:rsidRDefault="009848AE" w:rsidP="005A2729">
      <w:pPr>
        <w:numPr>
          <w:ilvl w:val="0"/>
          <w:numId w:val="11"/>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The purpose of the HPI is to prioritize public and private investments, resources and programs, as well as influence policy changes and decisions aimed at eliminating health inequities and improving health for all. </w:t>
      </w:r>
    </w:p>
    <w:p w14:paraId="6D0DA92C" w14:textId="77777777" w:rsidR="009848AE" w:rsidRPr="009848AE" w:rsidRDefault="009848AE" w:rsidP="009848AE">
      <w:pPr>
        <w:ind w:left="720"/>
        <w:contextualSpacing/>
        <w:rPr>
          <w:rFonts w:ascii="Arial" w:hAnsi="Arial" w:cs="Arial"/>
          <w:color w:val="000000"/>
          <w:sz w:val="22"/>
          <w:szCs w:val="22"/>
        </w:rPr>
      </w:pPr>
    </w:p>
    <w:p w14:paraId="401FE07D" w14:textId="77777777" w:rsidR="009848AE" w:rsidRPr="009848AE" w:rsidRDefault="009848AE" w:rsidP="009848AE">
      <w:pPr>
        <w:contextualSpacing/>
        <w:rPr>
          <w:rFonts w:ascii="Arial" w:eastAsiaTheme="minorHAnsi" w:hAnsi="Arial" w:cs="Arial"/>
          <w:b/>
          <w:bCs/>
          <w:sz w:val="22"/>
          <w:szCs w:val="22"/>
        </w:rPr>
      </w:pPr>
      <w:r w:rsidRPr="009848AE">
        <w:rPr>
          <w:rFonts w:ascii="Arial" w:eastAsiaTheme="minorHAnsi" w:hAnsi="Arial" w:cs="Arial"/>
          <w:b/>
          <w:bCs/>
          <w:sz w:val="22"/>
          <w:szCs w:val="22"/>
        </w:rPr>
        <w:t>Background on How Are “HPI” Scores Derived (The Solution)</w:t>
      </w:r>
    </w:p>
    <w:p w14:paraId="21F3FDA5" w14:textId="77777777" w:rsidR="009848AE" w:rsidRPr="009848AE" w:rsidRDefault="009848AE" w:rsidP="005A2729">
      <w:pPr>
        <w:numPr>
          <w:ilvl w:val="0"/>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In developing the HPI, a team of epidemiologists, policy analysts, community members, and other health and policy experts, examined an extensive amount of potential data sources. The team selected data sources for the Healthy Places Index that are: </w:t>
      </w:r>
    </w:p>
    <w:p w14:paraId="28565B70" w14:textId="77777777" w:rsidR="009848AE" w:rsidRPr="009848AE" w:rsidRDefault="009848AE" w:rsidP="005A2729">
      <w:pPr>
        <w:numPr>
          <w:ilvl w:val="1"/>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1) Publicly available</w:t>
      </w:r>
    </w:p>
    <w:p w14:paraId="13FEAFE2" w14:textId="77777777" w:rsidR="009848AE" w:rsidRPr="009848AE" w:rsidRDefault="009848AE" w:rsidP="005A2729">
      <w:pPr>
        <w:numPr>
          <w:ilvl w:val="1"/>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2) Up –to-date at a neighborhood (census tract) level (based on available data)</w:t>
      </w:r>
    </w:p>
    <w:p w14:paraId="2CAE1C90" w14:textId="77777777" w:rsidR="009848AE" w:rsidRPr="009848AE" w:rsidRDefault="009848AE" w:rsidP="005A2729">
      <w:pPr>
        <w:numPr>
          <w:ilvl w:val="1"/>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3) Available statewide in California, covering 98.6% of the state’s population. This includes 91.8% of the State’s rural population as well, and 57 out of our 58 total counties. </w:t>
      </w:r>
    </w:p>
    <w:p w14:paraId="2E8A8147" w14:textId="77777777" w:rsidR="009848AE" w:rsidRPr="009848AE" w:rsidRDefault="009848AE" w:rsidP="005A2729">
      <w:pPr>
        <w:numPr>
          <w:ilvl w:val="1"/>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4) Actionable by evidence-based policy and other actions, and </w:t>
      </w:r>
    </w:p>
    <w:p w14:paraId="128E46C7" w14:textId="77777777" w:rsidR="009848AE" w:rsidRPr="009848AE" w:rsidRDefault="009848AE" w:rsidP="005A2729">
      <w:pPr>
        <w:numPr>
          <w:ilvl w:val="1"/>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5) Demonstrably linked/correlated with life expectancy.</w:t>
      </w:r>
    </w:p>
    <w:p w14:paraId="773E0CCB" w14:textId="77777777" w:rsidR="009848AE" w:rsidRPr="009848AE" w:rsidRDefault="009848AE" w:rsidP="005A2729">
      <w:pPr>
        <w:numPr>
          <w:ilvl w:val="0"/>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The HPI combines 25 community characteristics into a single indexed HPI Score.  HPI scores for each census tract can be compared across the state to paint an overall picture of health and well-being in each neighborhood in California.  </w:t>
      </w:r>
    </w:p>
    <w:p w14:paraId="227DB30C" w14:textId="77777777" w:rsidR="009848AE" w:rsidRPr="009848AE" w:rsidRDefault="009848AE" w:rsidP="005A2729">
      <w:pPr>
        <w:numPr>
          <w:ilvl w:val="0"/>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In addition to the overall score, the index also contains eight sub-scores for each of the Policy Action Areas (Economic; Education; Housing; Health Care Access; Neighborhood; Clean Environment; Transportation; and Social factors). </w:t>
      </w:r>
    </w:p>
    <w:p w14:paraId="4B4A8B08" w14:textId="77777777" w:rsidR="009848AE" w:rsidRPr="009848AE" w:rsidRDefault="009848AE" w:rsidP="005A2729">
      <w:pPr>
        <w:numPr>
          <w:ilvl w:val="0"/>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The index was created using statistical modeling techniques that evaluated the relationship between these Policy Action Areas and life expectancy at birth. The statistics were designed to maximize the ability of the Healthy Places Index to identify communities with the most and least healthy conditions and quantify the factors that shape health.  </w:t>
      </w:r>
    </w:p>
    <w:p w14:paraId="517535B5" w14:textId="7995AC14" w:rsidR="005A2729" w:rsidRDefault="009848AE" w:rsidP="005A2729">
      <w:pPr>
        <w:numPr>
          <w:ilvl w:val="0"/>
          <w:numId w:val="12"/>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There are many neighborhood characteristics that are critical to health that were not included in HPI because they did not meet the criteria for inclusion.  As an example, we know social cohesion, community power, inclusion/exclusion are fundamental to good health, but at this time there are not adequate quantitative data to measure these characteristics at the neighborhood level, although we know public health can play a role in working to gather qualitative data about these issues directly from community members.  Where possible, we have included proxy measures (such as “voting” under the social policy action area), which may be correlated with a sense of community efficacy in making change</w:t>
      </w:r>
      <w:r w:rsidR="005A2729">
        <w:rPr>
          <w:rFonts w:ascii="Arial" w:eastAsiaTheme="minorHAnsi" w:hAnsi="Arial" w:cs="Arial"/>
          <w:sz w:val="22"/>
          <w:szCs w:val="22"/>
        </w:rPr>
        <w:t>.</w:t>
      </w:r>
    </w:p>
    <w:p w14:paraId="4888E819" w14:textId="77777777" w:rsidR="005A2729" w:rsidRPr="005A2729" w:rsidRDefault="005A2729" w:rsidP="005A2729">
      <w:pPr>
        <w:spacing w:after="160" w:line="259" w:lineRule="auto"/>
        <w:contextualSpacing/>
        <w:jc w:val="both"/>
        <w:rPr>
          <w:rFonts w:ascii="Arial" w:eastAsiaTheme="minorHAnsi" w:hAnsi="Arial" w:cs="Arial"/>
          <w:sz w:val="22"/>
          <w:szCs w:val="22"/>
        </w:rPr>
      </w:pPr>
    </w:p>
    <w:p w14:paraId="2B711FF0" w14:textId="1BD85042" w:rsidR="00717C39" w:rsidRPr="00FF089B" w:rsidRDefault="00FF089B" w:rsidP="00FF089B">
      <w:pPr>
        <w:contextualSpacing/>
        <w:jc w:val="center"/>
        <w:rPr>
          <w:rFonts w:ascii="Century Gothic" w:hAnsi="Century Gothic" w:cs="Arial"/>
          <w:b/>
          <w:bCs/>
          <w:color w:val="0070C0"/>
          <w:sz w:val="26"/>
          <w:szCs w:val="26"/>
        </w:rPr>
      </w:pPr>
      <w:r w:rsidRPr="00FF089B">
        <w:rPr>
          <w:rFonts w:ascii="Century Gothic" w:hAnsi="Century Gothic" w:cs="Arial"/>
          <w:b/>
          <w:bCs/>
          <w:color w:val="0070C0"/>
          <w:sz w:val="26"/>
          <w:szCs w:val="26"/>
        </w:rPr>
        <w:lastRenderedPageBreak/>
        <w:t>Background Root Cause Data That Can Be Tailored for Talking Points</w:t>
      </w:r>
    </w:p>
    <w:p w14:paraId="66B6DDA0" w14:textId="77777777" w:rsidR="00FF089B" w:rsidRDefault="00FF089B" w:rsidP="00E84BFB">
      <w:pPr>
        <w:contextualSpacing/>
        <w:jc w:val="center"/>
        <w:rPr>
          <w:rFonts w:ascii="Arial" w:hAnsi="Arial" w:cs="Arial"/>
          <w:b/>
          <w:bCs/>
        </w:rPr>
      </w:pPr>
    </w:p>
    <w:p w14:paraId="193A963F" w14:textId="1F143EB8" w:rsidR="00445884" w:rsidRPr="00FF089B" w:rsidRDefault="009848AE" w:rsidP="00E84BFB">
      <w:pPr>
        <w:contextualSpacing/>
        <w:jc w:val="center"/>
        <w:rPr>
          <w:rFonts w:ascii="Arial" w:hAnsi="Arial" w:cs="Arial"/>
          <w:b/>
          <w:bCs/>
        </w:rPr>
      </w:pPr>
      <w:r w:rsidRPr="00FF089B">
        <w:rPr>
          <w:rFonts w:ascii="Arial" w:hAnsi="Arial" w:cs="Arial"/>
          <w:b/>
          <w:bCs/>
        </w:rPr>
        <w:t>Data on Health Equity Matters</w:t>
      </w:r>
    </w:p>
    <w:p w14:paraId="3A3FBDDA" w14:textId="77777777" w:rsidR="000A31A1" w:rsidRPr="009848AE" w:rsidRDefault="000A31A1" w:rsidP="00E84BFB">
      <w:pPr>
        <w:contextualSpacing/>
        <w:rPr>
          <w:rFonts w:ascii="Arial" w:hAnsi="Arial" w:cs="Arial"/>
          <w:b/>
          <w:bCs/>
          <w:sz w:val="22"/>
          <w:szCs w:val="22"/>
          <w:u w:val="single"/>
        </w:rPr>
      </w:pPr>
    </w:p>
    <w:p w14:paraId="04FF872B" w14:textId="77777777" w:rsidR="009848AE" w:rsidRPr="009848AE" w:rsidRDefault="009848AE" w:rsidP="009848AE">
      <w:pPr>
        <w:contextualSpacing/>
        <w:rPr>
          <w:rFonts w:ascii="Arial" w:eastAsiaTheme="minorHAnsi" w:hAnsi="Arial" w:cs="Arial"/>
          <w:b/>
          <w:bCs/>
          <w:sz w:val="22"/>
          <w:szCs w:val="22"/>
        </w:rPr>
      </w:pPr>
      <w:r w:rsidRPr="009848AE">
        <w:rPr>
          <w:rFonts w:ascii="Arial" w:eastAsiaTheme="minorHAnsi" w:hAnsi="Arial" w:cs="Arial"/>
          <w:b/>
          <w:bCs/>
          <w:sz w:val="22"/>
          <w:szCs w:val="22"/>
        </w:rPr>
        <w:t>An Overview of COVID-19 Impacts</w:t>
      </w:r>
    </w:p>
    <w:p w14:paraId="59F12083" w14:textId="77777777" w:rsidR="009848AE" w:rsidRPr="009848AE" w:rsidRDefault="009848AE" w:rsidP="005A2729">
      <w:pPr>
        <w:numPr>
          <w:ilvl w:val="0"/>
          <w:numId w:val="14"/>
        </w:numPr>
        <w:spacing w:after="160" w:line="259" w:lineRule="auto"/>
        <w:contextualSpacing/>
        <w:jc w:val="both"/>
        <w:rPr>
          <w:rFonts w:ascii="Arial" w:eastAsiaTheme="minorHAnsi" w:hAnsi="Arial" w:cs="Arial"/>
          <w:color w:val="000000" w:themeColor="text1"/>
          <w:sz w:val="22"/>
          <w:szCs w:val="22"/>
        </w:rPr>
      </w:pPr>
      <w:r w:rsidRPr="009848AE">
        <w:rPr>
          <w:rFonts w:ascii="Arial" w:hAnsi="Arial" w:cs="Arial"/>
          <w:color w:val="000000" w:themeColor="text1"/>
          <w:sz w:val="22"/>
          <w:szCs w:val="22"/>
        </w:rPr>
        <w:t>Nationally, COVID-19 has taken the lives of </w:t>
      </w:r>
      <w:hyperlink r:id="rId27" w:tgtFrame="_blank" w:history="1">
        <w:r w:rsidRPr="009848AE">
          <w:rPr>
            <w:rFonts w:ascii="Arial" w:hAnsi="Arial" w:cs="Arial"/>
            <w:color w:val="0563C1" w:themeColor="hyperlink"/>
            <w:sz w:val="22"/>
            <w:szCs w:val="22"/>
            <w:u w:val="single"/>
          </w:rPr>
          <w:t>1 out of every 2,000 Black Americans</w:t>
        </w:r>
      </w:hyperlink>
      <w:r w:rsidRPr="009848AE">
        <w:rPr>
          <w:rFonts w:ascii="Arial" w:hAnsi="Arial" w:cs="Arial"/>
          <w:color w:val="000000" w:themeColor="text1"/>
          <w:sz w:val="22"/>
          <w:szCs w:val="22"/>
        </w:rPr>
        <w:t>, a rate nearly 2.5 times higher than White Americans. </w:t>
      </w:r>
      <w:r w:rsidRPr="009848AE">
        <w:rPr>
          <w:rFonts w:ascii="Arial" w:eastAsiaTheme="minorHAnsi" w:hAnsi="Arial" w:cs="Arial"/>
          <w:sz w:val="22"/>
          <w:szCs w:val="22"/>
        </w:rPr>
        <w:t xml:space="preserve"> </w:t>
      </w:r>
    </w:p>
    <w:p w14:paraId="12791BA8" w14:textId="51D08DAF" w:rsidR="009848AE" w:rsidRPr="009848AE" w:rsidRDefault="00D859BB" w:rsidP="005A2729">
      <w:pPr>
        <w:numPr>
          <w:ilvl w:val="0"/>
          <w:numId w:val="14"/>
        </w:numPr>
        <w:spacing w:after="160" w:line="259" w:lineRule="auto"/>
        <w:contextualSpacing/>
        <w:jc w:val="both"/>
        <w:rPr>
          <w:rFonts w:ascii="Arial" w:eastAsiaTheme="minorHAnsi" w:hAnsi="Arial" w:cs="Arial"/>
          <w:color w:val="000000" w:themeColor="text1"/>
          <w:sz w:val="22"/>
          <w:szCs w:val="22"/>
        </w:rPr>
      </w:pPr>
      <w:hyperlink r:id="rId28" w:history="1">
        <w:r w:rsidR="009848AE" w:rsidRPr="009848AE">
          <w:rPr>
            <w:rFonts w:ascii="Arial" w:eastAsiaTheme="minorHAnsi" w:hAnsi="Arial" w:cs="Arial"/>
            <w:color w:val="0563C1" w:themeColor="hyperlink"/>
            <w:sz w:val="22"/>
            <w:szCs w:val="22"/>
            <w:u w:val="single"/>
          </w:rPr>
          <w:t xml:space="preserve">While Latinx people represent approximately 39% of all Californians, they represent </w:t>
        </w:r>
        <w:r w:rsidR="00B72156">
          <w:rPr>
            <w:rFonts w:ascii="Arial" w:eastAsiaTheme="minorHAnsi" w:hAnsi="Arial" w:cs="Arial"/>
            <w:color w:val="0563C1" w:themeColor="hyperlink"/>
            <w:sz w:val="22"/>
            <w:szCs w:val="22"/>
            <w:u w:val="single"/>
          </w:rPr>
          <w:t>61</w:t>
        </w:r>
        <w:r w:rsidR="009848AE" w:rsidRPr="009848AE">
          <w:rPr>
            <w:rFonts w:ascii="Arial" w:eastAsiaTheme="minorHAnsi" w:hAnsi="Arial" w:cs="Arial"/>
            <w:color w:val="0563C1" w:themeColor="hyperlink"/>
            <w:sz w:val="22"/>
            <w:szCs w:val="22"/>
            <w:u w:val="single"/>
          </w:rPr>
          <w:t xml:space="preserve">% of the cases and </w:t>
        </w:r>
        <w:r w:rsidR="00B72156">
          <w:rPr>
            <w:rFonts w:ascii="Arial" w:eastAsiaTheme="minorHAnsi" w:hAnsi="Arial" w:cs="Arial"/>
            <w:color w:val="0563C1" w:themeColor="hyperlink"/>
            <w:sz w:val="22"/>
            <w:szCs w:val="22"/>
            <w:u w:val="single"/>
          </w:rPr>
          <w:t>over 48</w:t>
        </w:r>
        <w:r w:rsidR="009848AE" w:rsidRPr="009848AE">
          <w:rPr>
            <w:rFonts w:ascii="Arial" w:eastAsiaTheme="minorHAnsi" w:hAnsi="Arial" w:cs="Arial"/>
            <w:color w:val="0563C1" w:themeColor="hyperlink"/>
            <w:sz w:val="22"/>
            <w:szCs w:val="22"/>
            <w:u w:val="single"/>
          </w:rPr>
          <w:t>% of all the deaths</w:t>
        </w:r>
      </w:hyperlink>
      <w:r w:rsidR="009848AE" w:rsidRPr="009848AE">
        <w:rPr>
          <w:rFonts w:ascii="Arial" w:eastAsiaTheme="minorHAnsi" w:hAnsi="Arial" w:cs="Arial"/>
          <w:color w:val="000000" w:themeColor="text1"/>
          <w:sz w:val="22"/>
          <w:szCs w:val="22"/>
        </w:rPr>
        <w:t>. This is nearly half of all COVID-19 related deaths in California.</w:t>
      </w:r>
      <w:r w:rsidR="00B72156">
        <w:rPr>
          <w:rFonts w:ascii="Arial" w:eastAsiaTheme="minorHAnsi" w:hAnsi="Arial" w:cs="Arial"/>
          <w:color w:val="000000" w:themeColor="text1"/>
          <w:sz w:val="22"/>
          <w:szCs w:val="22"/>
        </w:rPr>
        <w:t xml:space="preserve"> </w:t>
      </w:r>
      <w:hyperlink r:id="rId29" w:history="1">
        <w:r w:rsidR="00B72156" w:rsidRPr="00B72156">
          <w:rPr>
            <w:rStyle w:val="Hyperlink"/>
            <w:rFonts w:ascii="Arial" w:eastAsiaTheme="minorHAnsi" w:hAnsi="Arial" w:cs="Arial"/>
            <w:sz w:val="22"/>
            <w:szCs w:val="22"/>
          </w:rPr>
          <w:t>Black Californians represent 6% of the State’s population, but close to 8% of all COVID-19 related deaths</w:t>
        </w:r>
      </w:hyperlink>
      <w:r w:rsidR="00B72156">
        <w:rPr>
          <w:rFonts w:ascii="Arial" w:eastAsiaTheme="minorHAnsi" w:hAnsi="Arial" w:cs="Arial"/>
          <w:color w:val="000000" w:themeColor="text1"/>
          <w:sz w:val="22"/>
          <w:szCs w:val="22"/>
        </w:rPr>
        <w:t>.</w:t>
      </w:r>
    </w:p>
    <w:p w14:paraId="4B26BC3F" w14:textId="42B1C254" w:rsidR="009848AE" w:rsidRPr="009848AE" w:rsidRDefault="009848AE" w:rsidP="005A2729">
      <w:pPr>
        <w:numPr>
          <w:ilvl w:val="0"/>
          <w:numId w:val="14"/>
        </w:numPr>
        <w:spacing w:after="160" w:line="259" w:lineRule="auto"/>
        <w:contextualSpacing/>
        <w:jc w:val="both"/>
        <w:rPr>
          <w:rFonts w:ascii="Arial" w:eastAsiaTheme="minorHAnsi" w:hAnsi="Arial" w:cs="Arial"/>
          <w:color w:val="000000" w:themeColor="text1"/>
          <w:sz w:val="22"/>
          <w:szCs w:val="22"/>
        </w:rPr>
      </w:pPr>
      <w:r w:rsidRPr="009848AE">
        <w:rPr>
          <w:rFonts w:ascii="Arial" w:eastAsiaTheme="minorHAnsi" w:hAnsi="Arial" w:cs="Arial"/>
          <w:color w:val="000000" w:themeColor="text1"/>
          <w:sz w:val="22"/>
          <w:szCs w:val="22"/>
        </w:rPr>
        <w:t xml:space="preserve">We also see inequitable outcomes for </w:t>
      </w:r>
      <w:r w:rsidR="00B72156">
        <w:rPr>
          <w:rFonts w:ascii="Arial" w:eastAsiaTheme="minorHAnsi" w:hAnsi="Arial" w:cs="Arial"/>
          <w:color w:val="000000" w:themeColor="text1"/>
          <w:sz w:val="22"/>
          <w:szCs w:val="22"/>
        </w:rPr>
        <w:t xml:space="preserve">Latinx, </w:t>
      </w:r>
      <w:r w:rsidRPr="009848AE">
        <w:rPr>
          <w:rFonts w:ascii="Arial" w:eastAsiaTheme="minorHAnsi" w:hAnsi="Arial" w:cs="Arial"/>
          <w:color w:val="000000" w:themeColor="text1"/>
          <w:sz w:val="22"/>
          <w:szCs w:val="22"/>
        </w:rPr>
        <w:t xml:space="preserve">Black and Native Hawaiian and other Pacific Islander (NHPI) Californians that are especially stark for </w:t>
      </w:r>
      <w:hyperlink r:id="rId30" w:history="1">
        <w:r w:rsidRPr="009848AE">
          <w:rPr>
            <w:rFonts w:ascii="Arial" w:eastAsiaTheme="minorHAnsi" w:hAnsi="Arial" w:cs="Arial"/>
            <w:color w:val="0563C1" w:themeColor="hyperlink"/>
            <w:sz w:val="22"/>
            <w:szCs w:val="22"/>
            <w:u w:val="single"/>
          </w:rPr>
          <w:t>younger</w:t>
        </w:r>
        <w:r w:rsidR="00B72156">
          <w:rPr>
            <w:rFonts w:ascii="Arial" w:eastAsiaTheme="minorHAnsi" w:hAnsi="Arial" w:cs="Arial"/>
            <w:color w:val="0563C1" w:themeColor="hyperlink"/>
            <w:sz w:val="22"/>
            <w:szCs w:val="22"/>
            <w:u w:val="single"/>
          </w:rPr>
          <w:t xml:space="preserve"> (Ages 18-34)</w:t>
        </w:r>
        <w:r w:rsidRPr="009848AE">
          <w:rPr>
            <w:rFonts w:ascii="Arial" w:eastAsiaTheme="minorHAnsi" w:hAnsi="Arial" w:cs="Arial"/>
            <w:color w:val="0563C1" w:themeColor="hyperlink"/>
            <w:sz w:val="22"/>
            <w:szCs w:val="22"/>
            <w:u w:val="single"/>
          </w:rPr>
          <w:t xml:space="preserve"> </w:t>
        </w:r>
        <w:r w:rsidR="00B72156">
          <w:rPr>
            <w:rFonts w:ascii="Arial" w:eastAsiaTheme="minorHAnsi" w:hAnsi="Arial" w:cs="Arial"/>
            <w:color w:val="0563C1" w:themeColor="hyperlink"/>
            <w:sz w:val="22"/>
            <w:szCs w:val="22"/>
            <w:u w:val="single"/>
          </w:rPr>
          <w:t xml:space="preserve">Latinx, </w:t>
        </w:r>
        <w:r w:rsidRPr="009848AE">
          <w:rPr>
            <w:rFonts w:ascii="Arial" w:eastAsiaTheme="minorHAnsi" w:hAnsi="Arial" w:cs="Arial"/>
            <w:color w:val="0563C1" w:themeColor="hyperlink"/>
            <w:sz w:val="22"/>
            <w:szCs w:val="22"/>
            <w:u w:val="single"/>
          </w:rPr>
          <w:t>Black and NHPI Californians</w:t>
        </w:r>
      </w:hyperlink>
      <w:r w:rsidR="00B72156">
        <w:rPr>
          <w:rFonts w:ascii="Arial" w:eastAsiaTheme="minorHAnsi" w:hAnsi="Arial" w:cs="Arial"/>
          <w:color w:val="000000" w:themeColor="text1"/>
          <w:sz w:val="22"/>
          <w:szCs w:val="22"/>
        </w:rPr>
        <w:t>.</w:t>
      </w:r>
      <w:r w:rsidRPr="009848AE">
        <w:rPr>
          <w:rFonts w:ascii="Arial" w:eastAsiaTheme="minorHAnsi" w:hAnsi="Arial" w:cs="Arial"/>
          <w:color w:val="000000" w:themeColor="text1"/>
          <w:sz w:val="22"/>
          <w:szCs w:val="22"/>
        </w:rPr>
        <w:t xml:space="preserve"> </w:t>
      </w:r>
    </w:p>
    <w:p w14:paraId="281089EA" w14:textId="5BB2038D" w:rsidR="009848AE" w:rsidRPr="005A2729" w:rsidRDefault="009848AE" w:rsidP="005A2729">
      <w:pPr>
        <w:numPr>
          <w:ilvl w:val="0"/>
          <w:numId w:val="14"/>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In our County </w:t>
      </w:r>
      <w:r w:rsidRPr="005A2729">
        <w:rPr>
          <w:rFonts w:ascii="Arial" w:eastAsiaTheme="minorHAnsi" w:hAnsi="Arial" w:cs="Arial"/>
          <w:sz w:val="22"/>
          <w:szCs w:val="22"/>
        </w:rPr>
        <w:t xml:space="preserve">[*Insert </w:t>
      </w:r>
      <w:r w:rsidR="005A2729" w:rsidRPr="005A2729">
        <w:rPr>
          <w:rFonts w:ascii="Arial" w:eastAsiaTheme="minorHAnsi" w:hAnsi="Arial" w:cs="Arial"/>
          <w:sz w:val="22"/>
          <w:szCs w:val="22"/>
        </w:rPr>
        <w:t>your jurisdiction’s disparity</w:t>
      </w:r>
      <w:r w:rsidRPr="005A2729">
        <w:rPr>
          <w:rFonts w:ascii="Arial" w:eastAsiaTheme="minorHAnsi" w:hAnsi="Arial" w:cs="Arial"/>
          <w:sz w:val="22"/>
          <w:szCs w:val="22"/>
        </w:rPr>
        <w:t xml:space="preserve"> data here</w:t>
      </w:r>
      <w:r w:rsidR="005A2729">
        <w:rPr>
          <w:rFonts w:ascii="Arial" w:eastAsiaTheme="minorHAnsi" w:hAnsi="Arial" w:cs="Arial"/>
          <w:sz w:val="22"/>
          <w:szCs w:val="22"/>
        </w:rPr>
        <w:t>*</w:t>
      </w:r>
      <w:r w:rsidRPr="005A2729">
        <w:rPr>
          <w:rFonts w:ascii="Arial" w:eastAsiaTheme="minorHAnsi" w:hAnsi="Arial" w:cs="Arial"/>
          <w:sz w:val="22"/>
          <w:szCs w:val="22"/>
        </w:rPr>
        <w:t xml:space="preserve">] </w:t>
      </w:r>
    </w:p>
    <w:p w14:paraId="1D87A55C" w14:textId="77777777" w:rsidR="009848AE" w:rsidRPr="009848AE" w:rsidRDefault="009848AE" w:rsidP="005A2729">
      <w:pPr>
        <w:numPr>
          <w:ilvl w:val="0"/>
          <w:numId w:val="14"/>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We know that a lot of that burden is driven by structural factors, like differences in who can safely “work from home,” who is an essential worker and given proper PPE (or personal protective equipment), and who has access to community-based resources or disproportionate exposure to health harming factors</w:t>
      </w:r>
    </w:p>
    <w:p w14:paraId="77DF7B9B" w14:textId="77777777" w:rsidR="009848AE" w:rsidRPr="009848AE" w:rsidRDefault="009848AE" w:rsidP="009848AE">
      <w:pPr>
        <w:contextualSpacing/>
        <w:rPr>
          <w:rFonts w:ascii="Arial" w:eastAsiaTheme="minorHAnsi" w:hAnsi="Arial" w:cs="Arial"/>
          <w:sz w:val="22"/>
          <w:szCs w:val="22"/>
          <w:u w:val="single"/>
        </w:rPr>
      </w:pPr>
    </w:p>
    <w:p w14:paraId="5395EA8F" w14:textId="77777777" w:rsidR="009848AE" w:rsidRPr="009848AE" w:rsidRDefault="009848AE" w:rsidP="009848AE">
      <w:pPr>
        <w:contextualSpacing/>
        <w:rPr>
          <w:rFonts w:ascii="Arial" w:eastAsiaTheme="minorHAnsi" w:hAnsi="Arial" w:cs="Arial"/>
          <w:b/>
          <w:bCs/>
          <w:sz w:val="22"/>
          <w:szCs w:val="22"/>
        </w:rPr>
      </w:pPr>
      <w:r w:rsidRPr="009848AE">
        <w:rPr>
          <w:rFonts w:ascii="Arial" w:eastAsiaTheme="minorHAnsi" w:hAnsi="Arial" w:cs="Arial"/>
          <w:b/>
          <w:bCs/>
          <w:sz w:val="22"/>
          <w:szCs w:val="22"/>
        </w:rPr>
        <w:t>The Impact of Employment on COVID-19 Inequities</w:t>
      </w:r>
    </w:p>
    <w:p w14:paraId="39545687" w14:textId="77777777" w:rsidR="009848AE" w:rsidRPr="009848AE" w:rsidRDefault="009848AE" w:rsidP="005A2729">
      <w:pPr>
        <w:numPr>
          <w:ilvl w:val="0"/>
          <w:numId w:val="15"/>
        </w:numPr>
        <w:spacing w:after="160" w:line="259" w:lineRule="auto"/>
        <w:contextualSpacing/>
        <w:jc w:val="both"/>
        <w:rPr>
          <w:rFonts w:ascii="Arial" w:eastAsiaTheme="minorHAnsi" w:hAnsi="Arial" w:cs="Arial"/>
          <w:sz w:val="22"/>
          <w:szCs w:val="22"/>
        </w:rPr>
      </w:pPr>
      <w:bookmarkStart w:id="4" w:name="_Hlk51310100"/>
      <w:r w:rsidRPr="009848AE">
        <w:rPr>
          <w:rFonts w:ascii="Arial" w:eastAsiaTheme="minorHAnsi" w:hAnsi="Arial" w:cs="Arial"/>
          <w:sz w:val="22"/>
          <w:szCs w:val="22"/>
        </w:rPr>
        <w:t xml:space="preserve">Keeping equity at the forefront means creating ways to reopen that also prioritize the health of our essential and frontline workers. </w:t>
      </w:r>
      <w:bookmarkEnd w:id="4"/>
      <w:r w:rsidRPr="009848AE">
        <w:rPr>
          <w:rFonts w:ascii="Arial" w:eastAsiaTheme="minorHAnsi" w:hAnsi="Arial" w:cs="Arial"/>
          <w:sz w:val="22"/>
          <w:szCs w:val="22"/>
        </w:rPr>
        <w:t xml:space="preserve">In the midst of the pandemic, there are large differences in who can safely work from home. </w:t>
      </w:r>
    </w:p>
    <w:p w14:paraId="73884611" w14:textId="77777777" w:rsidR="009848AE" w:rsidRPr="009848AE" w:rsidRDefault="009848AE" w:rsidP="005A2729">
      <w:pPr>
        <w:numPr>
          <w:ilvl w:val="1"/>
          <w:numId w:val="15"/>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In California, </w:t>
      </w:r>
      <w:hyperlink r:id="rId31" w:history="1">
        <w:r w:rsidRPr="009848AE">
          <w:rPr>
            <w:rFonts w:ascii="Arial" w:eastAsiaTheme="minorHAnsi" w:hAnsi="Arial" w:cs="Arial"/>
            <w:color w:val="0563C1" w:themeColor="hyperlink"/>
            <w:sz w:val="22"/>
            <w:szCs w:val="22"/>
            <w:u w:val="single"/>
          </w:rPr>
          <w:t>more than half</w:t>
        </w:r>
      </w:hyperlink>
      <w:r w:rsidRPr="009848AE">
        <w:rPr>
          <w:rFonts w:ascii="Arial" w:eastAsiaTheme="minorHAnsi" w:hAnsi="Arial" w:cs="Arial"/>
          <w:sz w:val="22"/>
          <w:szCs w:val="22"/>
        </w:rPr>
        <w:t xml:space="preserve"> of low-wage workers are employed in front-line essential jobs, compared to only 39% of middle and high-wage workers. </w:t>
      </w:r>
    </w:p>
    <w:p w14:paraId="4DF4EFE3" w14:textId="77777777" w:rsidR="009848AE" w:rsidRPr="009848AE" w:rsidRDefault="00D859BB" w:rsidP="005A2729">
      <w:pPr>
        <w:numPr>
          <w:ilvl w:val="1"/>
          <w:numId w:val="15"/>
        </w:numPr>
        <w:spacing w:after="160" w:line="259" w:lineRule="auto"/>
        <w:contextualSpacing/>
        <w:jc w:val="both"/>
        <w:rPr>
          <w:rFonts w:ascii="Arial" w:eastAsiaTheme="minorHAnsi" w:hAnsi="Arial" w:cs="Arial"/>
          <w:sz w:val="22"/>
          <w:szCs w:val="22"/>
        </w:rPr>
      </w:pPr>
      <w:hyperlink r:id="rId32" w:history="1">
        <w:r w:rsidR="009848AE" w:rsidRPr="009848AE">
          <w:rPr>
            <w:rFonts w:ascii="Arial" w:eastAsiaTheme="minorHAnsi" w:hAnsi="Arial" w:cs="Arial"/>
            <w:color w:val="0563C1" w:themeColor="hyperlink"/>
            <w:sz w:val="22"/>
            <w:szCs w:val="22"/>
            <w:u w:val="single"/>
          </w:rPr>
          <w:t>55% of Latinx workers and 48% of Black workers</w:t>
        </w:r>
      </w:hyperlink>
      <w:r w:rsidR="009848AE" w:rsidRPr="009848AE">
        <w:rPr>
          <w:rFonts w:ascii="Arial" w:eastAsiaTheme="minorHAnsi" w:hAnsi="Arial" w:cs="Arial"/>
          <w:sz w:val="22"/>
          <w:szCs w:val="22"/>
        </w:rPr>
        <w:t xml:space="preserve"> are employed in front-line essential jobs, compared to only 35% of White workers. </w:t>
      </w:r>
    </w:p>
    <w:p w14:paraId="48A3BF17" w14:textId="77777777" w:rsidR="009848AE" w:rsidRPr="009848AE" w:rsidRDefault="009848AE" w:rsidP="005A2729">
      <w:pPr>
        <w:numPr>
          <w:ilvl w:val="1"/>
          <w:numId w:val="15"/>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In addition, </w:t>
      </w:r>
      <w:hyperlink r:id="rId33" w:history="1">
        <w:r w:rsidRPr="009848AE">
          <w:rPr>
            <w:rFonts w:ascii="Arial" w:eastAsiaTheme="minorHAnsi" w:hAnsi="Arial" w:cs="Arial"/>
            <w:color w:val="0563C1" w:themeColor="hyperlink"/>
            <w:sz w:val="22"/>
            <w:szCs w:val="22"/>
            <w:u w:val="single"/>
          </w:rPr>
          <w:t>nearly half of immigrant workers are employed in front-line essential jobs</w:t>
        </w:r>
      </w:hyperlink>
      <w:r w:rsidRPr="009848AE">
        <w:rPr>
          <w:rFonts w:ascii="Arial" w:eastAsiaTheme="minorHAnsi" w:hAnsi="Arial" w:cs="Arial"/>
          <w:sz w:val="22"/>
          <w:szCs w:val="22"/>
        </w:rPr>
        <w:t xml:space="preserve">. </w:t>
      </w:r>
    </w:p>
    <w:p w14:paraId="4CE6B736" w14:textId="53E06991" w:rsidR="009848AE" w:rsidRPr="009848AE" w:rsidRDefault="009848AE" w:rsidP="005A2729">
      <w:pPr>
        <w:numPr>
          <w:ilvl w:val="1"/>
          <w:numId w:val="15"/>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As a result, low-wage workers and Black, Latinx and other workers of color are at greate</w:t>
      </w:r>
      <w:r w:rsidR="00B72156">
        <w:rPr>
          <w:rFonts w:ascii="Arial" w:eastAsiaTheme="minorHAnsi" w:hAnsi="Arial" w:cs="Arial"/>
          <w:sz w:val="22"/>
          <w:szCs w:val="22"/>
        </w:rPr>
        <w:t>r</w:t>
      </w:r>
      <w:r w:rsidRPr="009848AE">
        <w:rPr>
          <w:rFonts w:ascii="Arial" w:eastAsiaTheme="minorHAnsi" w:hAnsi="Arial" w:cs="Arial"/>
          <w:sz w:val="22"/>
          <w:szCs w:val="22"/>
        </w:rPr>
        <w:t xml:space="preserve"> risk of workplace exposure to COVID-19.</w:t>
      </w:r>
      <w:r w:rsidRPr="009848AE" w:rsidDel="00BE0397">
        <w:rPr>
          <w:rFonts w:ascii="Arial" w:eastAsiaTheme="minorHAnsi" w:hAnsi="Arial" w:cs="Arial"/>
          <w:sz w:val="22"/>
          <w:szCs w:val="22"/>
        </w:rPr>
        <w:t xml:space="preserve"> </w:t>
      </w:r>
    </w:p>
    <w:p w14:paraId="4A0F74FF" w14:textId="77777777" w:rsidR="009848AE" w:rsidRPr="009848AE" w:rsidRDefault="009848AE" w:rsidP="005A2729">
      <w:pPr>
        <w:numPr>
          <w:ilvl w:val="0"/>
          <w:numId w:val="15"/>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The HPI can help us ensure the health of our frontline and essential workers by identifying those communities most in need of additional resources to ensure the short and long-term health of all of our essential workers and their families.</w:t>
      </w:r>
    </w:p>
    <w:p w14:paraId="4E08476F" w14:textId="77777777" w:rsidR="009848AE" w:rsidRPr="009848AE" w:rsidRDefault="009848AE" w:rsidP="009848AE">
      <w:pPr>
        <w:ind w:left="1080"/>
        <w:contextualSpacing/>
        <w:rPr>
          <w:rFonts w:ascii="Arial" w:eastAsiaTheme="minorHAnsi" w:hAnsi="Arial" w:cs="Arial"/>
          <w:sz w:val="22"/>
          <w:szCs w:val="22"/>
        </w:rPr>
      </w:pPr>
    </w:p>
    <w:p w14:paraId="2EA93D46" w14:textId="77777777" w:rsidR="009848AE" w:rsidRPr="009848AE" w:rsidRDefault="009848AE" w:rsidP="009848AE">
      <w:pPr>
        <w:contextualSpacing/>
        <w:rPr>
          <w:rFonts w:ascii="Arial" w:eastAsiaTheme="minorHAnsi" w:hAnsi="Arial" w:cs="Arial"/>
          <w:sz w:val="22"/>
          <w:szCs w:val="22"/>
        </w:rPr>
      </w:pPr>
      <w:r w:rsidRPr="009848AE">
        <w:rPr>
          <w:rFonts w:ascii="Arial" w:eastAsiaTheme="minorHAnsi" w:hAnsi="Arial" w:cs="Arial"/>
          <w:b/>
          <w:bCs/>
          <w:sz w:val="22"/>
          <w:szCs w:val="22"/>
        </w:rPr>
        <w:t>The Impact of Housing on COVID-19 Inequities</w:t>
      </w:r>
    </w:p>
    <w:p w14:paraId="2DA07901" w14:textId="77777777" w:rsidR="009848AE" w:rsidRPr="009848AE" w:rsidRDefault="009848AE" w:rsidP="005A2729">
      <w:pPr>
        <w:numPr>
          <w:ilvl w:val="0"/>
          <w:numId w:val="16"/>
        </w:numPr>
        <w:spacing w:after="160" w:line="259" w:lineRule="auto"/>
        <w:contextualSpacing/>
        <w:jc w:val="both"/>
        <w:rPr>
          <w:rFonts w:ascii="Arial" w:eastAsiaTheme="minorHAnsi" w:hAnsi="Arial" w:cs="Arial"/>
          <w:sz w:val="22"/>
          <w:szCs w:val="22"/>
        </w:rPr>
      </w:pPr>
      <w:bookmarkStart w:id="5" w:name="_Hlk51310450"/>
      <w:r w:rsidRPr="009848AE">
        <w:rPr>
          <w:rFonts w:ascii="Arial" w:eastAsiaTheme="minorHAnsi" w:hAnsi="Arial" w:cs="Arial"/>
          <w:sz w:val="22"/>
          <w:szCs w:val="22"/>
        </w:rPr>
        <w:t>In California, we have made decisions that have led to rising housing costs and too many of our neighbors struggling to pay their rent or mortgage even before COVID-19 hit. When people can’t access safe and stable housing, it drives inequitable COVID-19 outcomes.</w:t>
      </w:r>
    </w:p>
    <w:bookmarkEnd w:id="5"/>
    <w:p w14:paraId="004ED549" w14:textId="77777777" w:rsidR="009848AE" w:rsidRPr="009848AE" w:rsidRDefault="009848AE" w:rsidP="005A2729">
      <w:pPr>
        <w:numPr>
          <w:ilvl w:val="1"/>
          <w:numId w:val="16"/>
        </w:numPr>
        <w:spacing w:after="160" w:line="259" w:lineRule="auto"/>
        <w:contextualSpacing/>
        <w:jc w:val="both"/>
        <w:rPr>
          <w:rFonts w:ascii="Arial" w:hAnsi="Arial" w:cs="Arial"/>
          <w:color w:val="000000" w:themeColor="text1"/>
          <w:sz w:val="22"/>
          <w:szCs w:val="22"/>
        </w:rPr>
      </w:pPr>
      <w:r w:rsidRPr="009848AE">
        <w:rPr>
          <w:rFonts w:ascii="Arial" w:hAnsi="Arial" w:cs="Arial"/>
          <w:color w:val="000000" w:themeColor="text1"/>
          <w:sz w:val="22"/>
          <w:szCs w:val="22"/>
        </w:rPr>
        <w:t xml:space="preserve">About 1 in 6 Californians, or 6.3 million people, </w:t>
      </w:r>
      <w:hyperlink r:id="rId34" w:history="1">
        <w:r w:rsidRPr="009848AE">
          <w:rPr>
            <w:rFonts w:ascii="Arial" w:hAnsi="Arial" w:cs="Arial"/>
            <w:color w:val="0563C1" w:themeColor="hyperlink"/>
            <w:sz w:val="22"/>
            <w:szCs w:val="22"/>
            <w:u w:val="single"/>
          </w:rPr>
          <w:t>live in overcrowded houses or apartments that make it difficult to isolate from one another</w:t>
        </w:r>
      </w:hyperlink>
      <w:r w:rsidRPr="009848AE">
        <w:rPr>
          <w:rFonts w:ascii="Arial" w:hAnsi="Arial" w:cs="Arial"/>
          <w:color w:val="000000" w:themeColor="text1"/>
          <w:sz w:val="22"/>
          <w:szCs w:val="22"/>
        </w:rPr>
        <w:t xml:space="preserve">. </w:t>
      </w:r>
    </w:p>
    <w:p w14:paraId="6B5914A7" w14:textId="77777777" w:rsidR="009848AE" w:rsidRPr="009848AE" w:rsidRDefault="009848AE" w:rsidP="005A2729">
      <w:pPr>
        <w:numPr>
          <w:ilvl w:val="1"/>
          <w:numId w:val="16"/>
        </w:numPr>
        <w:spacing w:after="160" w:line="259" w:lineRule="auto"/>
        <w:contextualSpacing/>
        <w:jc w:val="both"/>
        <w:rPr>
          <w:rFonts w:ascii="Arial" w:hAnsi="Arial" w:cs="Arial"/>
          <w:color w:val="000000" w:themeColor="text1"/>
          <w:sz w:val="22"/>
          <w:szCs w:val="22"/>
        </w:rPr>
      </w:pPr>
      <w:r w:rsidRPr="009848AE">
        <w:rPr>
          <w:rFonts w:ascii="Arial" w:hAnsi="Arial" w:cs="Arial"/>
          <w:color w:val="000000" w:themeColor="text1"/>
          <w:sz w:val="22"/>
          <w:szCs w:val="22"/>
        </w:rPr>
        <w:t xml:space="preserve">About two-thirds of Californians in overcrowded homes are essential workers or live with at least one essential worker. </w:t>
      </w:r>
    </w:p>
    <w:p w14:paraId="537A4148" w14:textId="77777777" w:rsidR="009848AE" w:rsidRPr="009848AE" w:rsidRDefault="009848AE" w:rsidP="005A2729">
      <w:pPr>
        <w:numPr>
          <w:ilvl w:val="2"/>
          <w:numId w:val="16"/>
        </w:numPr>
        <w:spacing w:after="160" w:line="259" w:lineRule="auto"/>
        <w:contextualSpacing/>
        <w:jc w:val="both"/>
        <w:rPr>
          <w:rFonts w:ascii="Arial" w:hAnsi="Arial" w:cs="Arial"/>
          <w:color w:val="000000" w:themeColor="text1"/>
          <w:sz w:val="22"/>
          <w:szCs w:val="22"/>
        </w:rPr>
      </w:pPr>
      <w:r w:rsidRPr="009848AE">
        <w:rPr>
          <w:rFonts w:ascii="Arial" w:hAnsi="Arial" w:cs="Arial"/>
          <w:color w:val="000000" w:themeColor="text1"/>
          <w:sz w:val="22"/>
          <w:szCs w:val="22"/>
        </w:rPr>
        <w:t xml:space="preserve">Of those, 75% live in poverty, 92% are people of color and 12% lack health insurance. </w:t>
      </w:r>
    </w:p>
    <w:p w14:paraId="67ECD700" w14:textId="4F0E9E33" w:rsidR="00A369EE" w:rsidRPr="007B6E94" w:rsidRDefault="009848AE" w:rsidP="009848AE">
      <w:pPr>
        <w:numPr>
          <w:ilvl w:val="0"/>
          <w:numId w:val="16"/>
        </w:numPr>
        <w:spacing w:after="160" w:line="259" w:lineRule="auto"/>
        <w:contextualSpacing/>
        <w:jc w:val="both"/>
        <w:rPr>
          <w:rFonts w:ascii="Arial" w:eastAsiaTheme="minorHAnsi" w:hAnsi="Arial" w:cs="Arial"/>
          <w:sz w:val="22"/>
          <w:szCs w:val="22"/>
        </w:rPr>
      </w:pPr>
      <w:r w:rsidRPr="009848AE">
        <w:rPr>
          <w:rFonts w:ascii="Arial" w:eastAsiaTheme="minorHAnsi" w:hAnsi="Arial" w:cs="Arial"/>
          <w:sz w:val="22"/>
          <w:szCs w:val="22"/>
        </w:rPr>
        <w:t xml:space="preserve">We also know from national research that people are open and willing to have a conversation about how we ensure that all people have access to safe and affordable housing, and we have policies in the HPI that can help make this happen. By tying each indicator to policy examples, the HPI provides a roadmap for equity that can serve as a foundation for our COVID-19 recovery. </w:t>
      </w:r>
    </w:p>
    <w:sectPr w:rsidR="00A369EE" w:rsidRPr="007B6E94" w:rsidSect="00FF089B">
      <w:headerReference w:type="default" r:id="rId35"/>
      <w:footerReference w:type="even" r:id="rId36"/>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2B17" w14:textId="77777777" w:rsidR="00D859BB" w:rsidRDefault="00D859BB" w:rsidP="006F4517">
      <w:r>
        <w:separator/>
      </w:r>
    </w:p>
  </w:endnote>
  <w:endnote w:type="continuationSeparator" w:id="0">
    <w:p w14:paraId="5B298353" w14:textId="77777777" w:rsidR="00D859BB" w:rsidRDefault="00D859BB" w:rsidP="006F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136461"/>
      <w:docPartObj>
        <w:docPartGallery w:val="Page Numbers (Bottom of Page)"/>
        <w:docPartUnique/>
      </w:docPartObj>
    </w:sdtPr>
    <w:sdtEndPr>
      <w:rPr>
        <w:rStyle w:val="PageNumber"/>
      </w:rPr>
    </w:sdtEndPr>
    <w:sdtContent>
      <w:p w14:paraId="1E00E373" w14:textId="79A29E51" w:rsidR="008D7C13" w:rsidRDefault="008D7C13" w:rsidP="00DE0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51DB0" w14:textId="77777777" w:rsidR="008D7C13" w:rsidRDefault="008D7C13" w:rsidP="008D7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82731"/>
      <w:docPartObj>
        <w:docPartGallery w:val="Page Numbers (Bottom of Page)"/>
        <w:docPartUnique/>
      </w:docPartObj>
    </w:sdtPr>
    <w:sdtEndPr>
      <w:rPr>
        <w:rStyle w:val="PageNumber"/>
        <w:rFonts w:ascii="Arial" w:hAnsi="Arial" w:cs="Arial"/>
        <w:sz w:val="22"/>
        <w:szCs w:val="22"/>
      </w:rPr>
    </w:sdtEndPr>
    <w:sdtContent>
      <w:p w14:paraId="6A9C5D5D" w14:textId="479B4F0B" w:rsidR="008D7C13" w:rsidRPr="008D7C13" w:rsidRDefault="008D7C13" w:rsidP="00DE0377">
        <w:pPr>
          <w:pStyle w:val="Footer"/>
          <w:framePr w:wrap="none" w:vAnchor="text" w:hAnchor="margin" w:xAlign="right" w:y="1"/>
          <w:rPr>
            <w:rStyle w:val="PageNumber"/>
            <w:rFonts w:ascii="Arial" w:hAnsi="Arial" w:cs="Arial"/>
            <w:sz w:val="22"/>
            <w:szCs w:val="22"/>
          </w:rPr>
        </w:pPr>
        <w:r w:rsidRPr="008D7C13">
          <w:rPr>
            <w:rStyle w:val="PageNumber"/>
            <w:rFonts w:ascii="Arial" w:hAnsi="Arial" w:cs="Arial"/>
            <w:sz w:val="22"/>
            <w:szCs w:val="22"/>
          </w:rPr>
          <w:fldChar w:fldCharType="begin"/>
        </w:r>
        <w:r w:rsidRPr="008D7C13">
          <w:rPr>
            <w:rStyle w:val="PageNumber"/>
            <w:rFonts w:ascii="Arial" w:hAnsi="Arial" w:cs="Arial"/>
            <w:sz w:val="22"/>
            <w:szCs w:val="22"/>
          </w:rPr>
          <w:instrText xml:space="preserve"> PAGE </w:instrText>
        </w:r>
        <w:r w:rsidRPr="008D7C13">
          <w:rPr>
            <w:rStyle w:val="PageNumber"/>
            <w:rFonts w:ascii="Arial" w:hAnsi="Arial" w:cs="Arial"/>
            <w:sz w:val="22"/>
            <w:szCs w:val="22"/>
          </w:rPr>
          <w:fldChar w:fldCharType="separate"/>
        </w:r>
        <w:r w:rsidR="00401402">
          <w:rPr>
            <w:rStyle w:val="PageNumber"/>
            <w:rFonts w:ascii="Arial" w:hAnsi="Arial" w:cs="Arial"/>
            <w:noProof/>
            <w:sz w:val="22"/>
            <w:szCs w:val="22"/>
          </w:rPr>
          <w:t>4</w:t>
        </w:r>
        <w:r w:rsidRPr="008D7C13">
          <w:rPr>
            <w:rStyle w:val="PageNumber"/>
            <w:rFonts w:ascii="Arial" w:hAnsi="Arial" w:cs="Arial"/>
            <w:sz w:val="22"/>
            <w:szCs w:val="22"/>
          </w:rPr>
          <w:fldChar w:fldCharType="end"/>
        </w:r>
      </w:p>
    </w:sdtContent>
  </w:sdt>
  <w:p w14:paraId="4E3BE3BB" w14:textId="77777777" w:rsidR="008D7C13" w:rsidRDefault="008D7C13" w:rsidP="008D7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9997" w14:textId="77777777" w:rsidR="00D859BB" w:rsidRDefault="00D859BB" w:rsidP="006F4517">
      <w:r>
        <w:separator/>
      </w:r>
    </w:p>
  </w:footnote>
  <w:footnote w:type="continuationSeparator" w:id="0">
    <w:p w14:paraId="312250B1" w14:textId="77777777" w:rsidR="00D859BB" w:rsidRDefault="00D859BB" w:rsidP="006F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BD83" w14:textId="7C9960FE" w:rsidR="00B31D39" w:rsidRDefault="00024ADD" w:rsidP="00024ADD">
    <w:pPr>
      <w:pStyle w:val="Header"/>
      <w:ind w:left="-720"/>
      <w:jc w:val="right"/>
      <w:rPr>
        <w:rFonts w:ascii="Century Gothic" w:hAnsi="Century Gothic"/>
        <w:color w:val="4472C4" w:themeColor="accent1"/>
        <w:spacing w:val="-8"/>
        <w:sz w:val="32"/>
        <w:szCs w:val="40"/>
      </w:rPr>
    </w:pPr>
    <w:r w:rsidRPr="00FF089B">
      <w:rPr>
        <w:noProof/>
        <w:sz w:val="28"/>
        <w:szCs w:val="28"/>
      </w:rPr>
      <w:drawing>
        <wp:anchor distT="0" distB="0" distL="114300" distR="114300" simplePos="0" relativeHeight="251660288" behindDoc="0" locked="0" layoutInCell="1" allowOverlap="1" wp14:anchorId="455A0051" wp14:editId="12AD103A">
          <wp:simplePos x="0" y="0"/>
          <wp:positionH relativeFrom="column">
            <wp:posOffset>-109189</wp:posOffset>
          </wp:positionH>
          <wp:positionV relativeFrom="paragraph">
            <wp:posOffset>-231140</wp:posOffset>
          </wp:positionV>
          <wp:extent cx="2453640" cy="887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245364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ACE">
      <w:rPr>
        <w:rFonts w:ascii="Century Gothic" w:hAnsi="Century Gothic"/>
        <w:color w:val="4472C4" w:themeColor="accent1"/>
        <w:spacing w:val="-8"/>
        <w:sz w:val="32"/>
        <w:szCs w:val="40"/>
      </w:rPr>
      <w:t xml:space="preserve">HPI </w:t>
    </w:r>
    <w:r w:rsidR="00E10AA0">
      <w:rPr>
        <w:rFonts w:ascii="Century Gothic" w:hAnsi="Century Gothic"/>
        <w:color w:val="4472C4" w:themeColor="accent1"/>
        <w:spacing w:val="-8"/>
        <w:sz w:val="32"/>
        <w:szCs w:val="40"/>
      </w:rPr>
      <w:t>&amp; Health Equity</w:t>
    </w:r>
  </w:p>
  <w:p w14:paraId="64DD79C6" w14:textId="77777777" w:rsidR="00024ADD" w:rsidRPr="004731DA" w:rsidRDefault="00024ADD" w:rsidP="00024ADD">
    <w:pPr>
      <w:pStyle w:val="Header"/>
      <w:ind w:left="-360"/>
      <w:jc w:val="right"/>
      <w:rPr>
        <w:b/>
        <w:spacing w:val="-8"/>
        <w:sz w:val="16"/>
        <w:szCs w:val="16"/>
      </w:rPr>
    </w:pPr>
    <w:r>
      <w:rPr>
        <w:noProof/>
      </w:rPr>
      <mc:AlternateContent>
        <mc:Choice Requires="wps">
          <w:drawing>
            <wp:anchor distT="4294967295" distB="4294967295" distL="114300" distR="114300" simplePos="0" relativeHeight="251659264" behindDoc="0" locked="0" layoutInCell="1" allowOverlap="1" wp14:anchorId="0BF32771" wp14:editId="64894B62">
              <wp:simplePos x="0" y="0"/>
              <wp:positionH relativeFrom="margin">
                <wp:align>right</wp:align>
              </wp:positionH>
              <wp:positionV relativeFrom="paragraph">
                <wp:posOffset>61595</wp:posOffset>
              </wp:positionV>
              <wp:extent cx="3566160" cy="0"/>
              <wp:effectExtent l="0" t="1905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straightConnector1">
                        <a:avLst/>
                      </a:prstGeom>
                      <a:noFill/>
                      <a:ln w="3175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92F992B" id="_x0000_t32" coordsize="21600,21600" o:spt="32" o:oned="t" path="m,l21600,21600e" filled="f">
              <v:path arrowok="t" fillok="f" o:connecttype="none"/>
              <o:lock v:ext="edit" shapetype="t"/>
            </v:shapetype>
            <v:shape id="Straight Arrow Connector 1" o:spid="_x0000_s1026" type="#_x0000_t32" style="position:absolute;margin-left:229.6pt;margin-top:4.85pt;width:280.8pt;height:0;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" strokecolor="#92d050" strokeweight="2.5pt">
              <v:shadow color="#868686"/>
              <w10:wrap anchorx="margin"/>
            </v:shape>
          </w:pict>
        </mc:Fallback>
      </mc:AlternateContent>
    </w:r>
  </w:p>
  <w:p w14:paraId="1F957FF1" w14:textId="3C73B7D7" w:rsidR="00024ADD" w:rsidRPr="00FF089B" w:rsidRDefault="00B31D39" w:rsidP="00024ADD">
    <w:pPr>
      <w:pStyle w:val="Header"/>
      <w:jc w:val="right"/>
      <w:rPr>
        <w:rFonts w:ascii="Century Gothic" w:hAnsi="Century Gothic"/>
        <w:color w:val="4472C4" w:themeColor="accent1"/>
        <w:spacing w:val="-8"/>
        <w:sz w:val="28"/>
        <w:szCs w:val="28"/>
      </w:rPr>
    </w:pPr>
    <w:r w:rsidRPr="00FF089B">
      <w:rPr>
        <w:rFonts w:ascii="Century Gothic" w:hAnsi="Century Gothic"/>
        <w:color w:val="4472C4" w:themeColor="accent1"/>
        <w:spacing w:val="-8"/>
        <w:sz w:val="28"/>
        <w:szCs w:val="28"/>
      </w:rPr>
      <w:t>Talking Points</w:t>
    </w:r>
  </w:p>
  <w:p w14:paraId="7134894D" w14:textId="77777777" w:rsidR="00024ADD" w:rsidRDefault="0002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F45B99"/>
    <w:multiLevelType w:val="hybridMultilevel"/>
    <w:tmpl w:val="4FC36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964BC"/>
    <w:multiLevelType w:val="hybridMultilevel"/>
    <w:tmpl w:val="994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4A10"/>
    <w:multiLevelType w:val="hybridMultilevel"/>
    <w:tmpl w:val="10E6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3634"/>
    <w:multiLevelType w:val="hybridMultilevel"/>
    <w:tmpl w:val="086BA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BC4BF7"/>
    <w:multiLevelType w:val="hybridMultilevel"/>
    <w:tmpl w:val="27B2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76D66"/>
    <w:multiLevelType w:val="hybridMultilevel"/>
    <w:tmpl w:val="5A6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C5A4C"/>
    <w:multiLevelType w:val="hybridMultilevel"/>
    <w:tmpl w:val="B124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075A"/>
    <w:multiLevelType w:val="hybridMultilevel"/>
    <w:tmpl w:val="82F8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2F7B81"/>
    <w:multiLevelType w:val="hybridMultilevel"/>
    <w:tmpl w:val="89E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91B71"/>
    <w:multiLevelType w:val="hybridMultilevel"/>
    <w:tmpl w:val="00AC3A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3F0E3F4C"/>
    <w:multiLevelType w:val="hybridMultilevel"/>
    <w:tmpl w:val="1C704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41B63"/>
    <w:multiLevelType w:val="multilevel"/>
    <w:tmpl w:val="CDF83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521AF"/>
    <w:multiLevelType w:val="hybridMultilevel"/>
    <w:tmpl w:val="DB96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317E3"/>
    <w:multiLevelType w:val="hybridMultilevel"/>
    <w:tmpl w:val="035E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129FB"/>
    <w:multiLevelType w:val="hybridMultilevel"/>
    <w:tmpl w:val="451A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17B7D"/>
    <w:multiLevelType w:val="hybridMultilevel"/>
    <w:tmpl w:val="7630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4"/>
  </w:num>
  <w:num w:numId="6">
    <w:abstractNumId w:val="1"/>
  </w:num>
  <w:num w:numId="7">
    <w:abstractNumId w:val="12"/>
  </w:num>
  <w:num w:numId="8">
    <w:abstractNumId w:val="8"/>
  </w:num>
  <w:num w:numId="9">
    <w:abstractNumId w:val="9"/>
  </w:num>
  <w:num w:numId="10">
    <w:abstractNumId w:val="11"/>
  </w:num>
  <w:num w:numId="11">
    <w:abstractNumId w:val="5"/>
  </w:num>
  <w:num w:numId="12">
    <w:abstractNumId w:val="6"/>
  </w:num>
  <w:num w:numId="13">
    <w:abstractNumId w:val="14"/>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F3"/>
    <w:rsid w:val="00024ADD"/>
    <w:rsid w:val="000258D1"/>
    <w:rsid w:val="00047200"/>
    <w:rsid w:val="00054DB5"/>
    <w:rsid w:val="00056138"/>
    <w:rsid w:val="0008365C"/>
    <w:rsid w:val="00092882"/>
    <w:rsid w:val="000A31A1"/>
    <w:rsid w:val="000D0357"/>
    <w:rsid w:val="000E1D55"/>
    <w:rsid w:val="000F1AB4"/>
    <w:rsid w:val="00133E46"/>
    <w:rsid w:val="00136354"/>
    <w:rsid w:val="001416A8"/>
    <w:rsid w:val="0014586E"/>
    <w:rsid w:val="00155D23"/>
    <w:rsid w:val="00185576"/>
    <w:rsid w:val="001907B9"/>
    <w:rsid w:val="001979DF"/>
    <w:rsid w:val="001B3FF3"/>
    <w:rsid w:val="001B7D86"/>
    <w:rsid w:val="001C472E"/>
    <w:rsid w:val="001D2A3D"/>
    <w:rsid w:val="001D4B1C"/>
    <w:rsid w:val="001F0C6E"/>
    <w:rsid w:val="00204615"/>
    <w:rsid w:val="00244E26"/>
    <w:rsid w:val="0025545A"/>
    <w:rsid w:val="0026108E"/>
    <w:rsid w:val="002A3BA2"/>
    <w:rsid w:val="002A5E46"/>
    <w:rsid w:val="002D010B"/>
    <w:rsid w:val="002E4D7D"/>
    <w:rsid w:val="002E5183"/>
    <w:rsid w:val="00312627"/>
    <w:rsid w:val="00344828"/>
    <w:rsid w:val="00346C81"/>
    <w:rsid w:val="00367586"/>
    <w:rsid w:val="00373469"/>
    <w:rsid w:val="003D0069"/>
    <w:rsid w:val="003E1FDB"/>
    <w:rsid w:val="003F66BB"/>
    <w:rsid w:val="00401402"/>
    <w:rsid w:val="00445884"/>
    <w:rsid w:val="00454511"/>
    <w:rsid w:val="00464721"/>
    <w:rsid w:val="00470A46"/>
    <w:rsid w:val="00472B76"/>
    <w:rsid w:val="004778CD"/>
    <w:rsid w:val="0048396D"/>
    <w:rsid w:val="0048721B"/>
    <w:rsid w:val="004872CD"/>
    <w:rsid w:val="004B7F33"/>
    <w:rsid w:val="004C3ACE"/>
    <w:rsid w:val="004C50E7"/>
    <w:rsid w:val="004C7215"/>
    <w:rsid w:val="004D1775"/>
    <w:rsid w:val="004F1046"/>
    <w:rsid w:val="004F7B67"/>
    <w:rsid w:val="0050064C"/>
    <w:rsid w:val="00512E65"/>
    <w:rsid w:val="0056678A"/>
    <w:rsid w:val="005757C1"/>
    <w:rsid w:val="005A2729"/>
    <w:rsid w:val="005B2A3B"/>
    <w:rsid w:val="005D2232"/>
    <w:rsid w:val="005E3C51"/>
    <w:rsid w:val="005E51DA"/>
    <w:rsid w:val="005E5395"/>
    <w:rsid w:val="005E7DEE"/>
    <w:rsid w:val="005F38AC"/>
    <w:rsid w:val="00620DDF"/>
    <w:rsid w:val="00642D78"/>
    <w:rsid w:val="006440AF"/>
    <w:rsid w:val="0064534E"/>
    <w:rsid w:val="00684A29"/>
    <w:rsid w:val="00694DB4"/>
    <w:rsid w:val="006A375B"/>
    <w:rsid w:val="006A7DED"/>
    <w:rsid w:val="006B478F"/>
    <w:rsid w:val="006B54C5"/>
    <w:rsid w:val="006C672B"/>
    <w:rsid w:val="006F4517"/>
    <w:rsid w:val="00717C39"/>
    <w:rsid w:val="00726D58"/>
    <w:rsid w:val="007345CA"/>
    <w:rsid w:val="00766D63"/>
    <w:rsid w:val="007942EF"/>
    <w:rsid w:val="007A1C85"/>
    <w:rsid w:val="007B6E94"/>
    <w:rsid w:val="007C082C"/>
    <w:rsid w:val="007F00B3"/>
    <w:rsid w:val="00802E81"/>
    <w:rsid w:val="00804D44"/>
    <w:rsid w:val="00831045"/>
    <w:rsid w:val="00851AD7"/>
    <w:rsid w:val="008A2015"/>
    <w:rsid w:val="008A6005"/>
    <w:rsid w:val="008D7C13"/>
    <w:rsid w:val="008D7E05"/>
    <w:rsid w:val="00901CE9"/>
    <w:rsid w:val="00903DE8"/>
    <w:rsid w:val="009419DF"/>
    <w:rsid w:val="00956EFF"/>
    <w:rsid w:val="00960BF3"/>
    <w:rsid w:val="00970531"/>
    <w:rsid w:val="00975026"/>
    <w:rsid w:val="009848AE"/>
    <w:rsid w:val="00985B6D"/>
    <w:rsid w:val="009908EC"/>
    <w:rsid w:val="009B7C76"/>
    <w:rsid w:val="009C3ED0"/>
    <w:rsid w:val="009C46B2"/>
    <w:rsid w:val="009F682A"/>
    <w:rsid w:val="00A369EE"/>
    <w:rsid w:val="00A46AFB"/>
    <w:rsid w:val="00A71C51"/>
    <w:rsid w:val="00A82050"/>
    <w:rsid w:val="00AA161C"/>
    <w:rsid w:val="00AC0BCB"/>
    <w:rsid w:val="00AC4191"/>
    <w:rsid w:val="00B31D39"/>
    <w:rsid w:val="00B32A43"/>
    <w:rsid w:val="00B72156"/>
    <w:rsid w:val="00BE6A31"/>
    <w:rsid w:val="00C37193"/>
    <w:rsid w:val="00C478E0"/>
    <w:rsid w:val="00C60E0E"/>
    <w:rsid w:val="00C94443"/>
    <w:rsid w:val="00CB6795"/>
    <w:rsid w:val="00CD1B78"/>
    <w:rsid w:val="00CF780B"/>
    <w:rsid w:val="00D14C13"/>
    <w:rsid w:val="00D255B9"/>
    <w:rsid w:val="00D500B6"/>
    <w:rsid w:val="00D6769D"/>
    <w:rsid w:val="00D859BB"/>
    <w:rsid w:val="00D9234F"/>
    <w:rsid w:val="00DB78F6"/>
    <w:rsid w:val="00DD097D"/>
    <w:rsid w:val="00E10AA0"/>
    <w:rsid w:val="00E25806"/>
    <w:rsid w:val="00E51528"/>
    <w:rsid w:val="00E54668"/>
    <w:rsid w:val="00E72BAA"/>
    <w:rsid w:val="00E84BFB"/>
    <w:rsid w:val="00E92D69"/>
    <w:rsid w:val="00EA6F88"/>
    <w:rsid w:val="00EA7E46"/>
    <w:rsid w:val="00EB6B04"/>
    <w:rsid w:val="00EC062D"/>
    <w:rsid w:val="00EE46E1"/>
    <w:rsid w:val="00F2323C"/>
    <w:rsid w:val="00F75989"/>
    <w:rsid w:val="00F86AA3"/>
    <w:rsid w:val="00F946DF"/>
    <w:rsid w:val="00FA7A9C"/>
    <w:rsid w:val="00FE7684"/>
    <w:rsid w:val="00FF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0BCF"/>
  <w15:chartTrackingRefBased/>
  <w15:docId w15:val="{8F97E4DD-C903-4A46-99EC-4C45744A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1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561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F3"/>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6A37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375B"/>
    <w:rPr>
      <w:rFonts w:ascii="Segoe UI" w:hAnsi="Segoe UI" w:cs="Segoe UI"/>
      <w:sz w:val="18"/>
      <w:szCs w:val="18"/>
    </w:rPr>
  </w:style>
  <w:style w:type="character" w:styleId="Hyperlink">
    <w:name w:val="Hyperlink"/>
    <w:basedOn w:val="DefaultParagraphFont"/>
    <w:uiPriority w:val="99"/>
    <w:unhideWhenUsed/>
    <w:rsid w:val="00133E46"/>
    <w:rPr>
      <w:color w:val="0000FF"/>
      <w:u w:val="single"/>
    </w:rPr>
  </w:style>
  <w:style w:type="character" w:styleId="CommentReference">
    <w:name w:val="annotation reference"/>
    <w:basedOn w:val="DefaultParagraphFont"/>
    <w:uiPriority w:val="99"/>
    <w:semiHidden/>
    <w:unhideWhenUsed/>
    <w:rsid w:val="00694DB4"/>
    <w:rPr>
      <w:sz w:val="16"/>
      <w:szCs w:val="16"/>
    </w:rPr>
  </w:style>
  <w:style w:type="paragraph" w:styleId="CommentText">
    <w:name w:val="annotation text"/>
    <w:basedOn w:val="Normal"/>
    <w:link w:val="CommentTextChar"/>
    <w:uiPriority w:val="99"/>
    <w:unhideWhenUsed/>
    <w:rsid w:val="00694DB4"/>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694D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4DB4"/>
    <w:rPr>
      <w:b/>
      <w:bCs/>
    </w:rPr>
  </w:style>
  <w:style w:type="character" w:customStyle="1" w:styleId="CommentSubjectChar">
    <w:name w:val="Comment Subject Char"/>
    <w:basedOn w:val="CommentTextChar"/>
    <w:link w:val="CommentSubject"/>
    <w:uiPriority w:val="99"/>
    <w:semiHidden/>
    <w:rsid w:val="00694DB4"/>
    <w:rPr>
      <w:rFonts w:ascii="Calibri" w:hAnsi="Calibri" w:cs="Calibri"/>
      <w:b/>
      <w:bCs/>
      <w:sz w:val="20"/>
      <w:szCs w:val="20"/>
    </w:rPr>
  </w:style>
  <w:style w:type="character" w:customStyle="1" w:styleId="Heading2Char">
    <w:name w:val="Heading 2 Char"/>
    <w:basedOn w:val="DefaultParagraphFont"/>
    <w:link w:val="Heading2"/>
    <w:uiPriority w:val="9"/>
    <w:semiHidden/>
    <w:rsid w:val="00056138"/>
    <w:rPr>
      <w:rFonts w:asciiTheme="majorHAnsi" w:eastAsiaTheme="majorEastAsia" w:hAnsiTheme="majorHAnsi" w:cstheme="majorBidi"/>
      <w:color w:val="2F5496" w:themeColor="accent1" w:themeShade="BF"/>
      <w:sz w:val="26"/>
      <w:szCs w:val="26"/>
    </w:rPr>
  </w:style>
  <w:style w:type="paragraph" w:customStyle="1" w:styleId="Default">
    <w:name w:val="Default"/>
    <w:rsid w:val="00092882"/>
    <w:pPr>
      <w:autoSpaceDE w:val="0"/>
      <w:autoSpaceDN w:val="0"/>
      <w:adjustRightInd w:val="0"/>
      <w:spacing w:after="0" w:line="240" w:lineRule="auto"/>
    </w:pPr>
    <w:rPr>
      <w:rFonts w:ascii="Open Sans" w:hAnsi="Open Sans" w:cs="Open Sans"/>
      <w:color w:val="000000"/>
      <w:sz w:val="24"/>
      <w:szCs w:val="24"/>
    </w:rPr>
  </w:style>
  <w:style w:type="character" w:customStyle="1" w:styleId="A6">
    <w:name w:val="A6"/>
    <w:uiPriority w:val="99"/>
    <w:rsid w:val="00092882"/>
    <w:rPr>
      <w:rFonts w:cs="Open Sans"/>
      <w:color w:val="221E1F"/>
      <w:sz w:val="12"/>
      <w:szCs w:val="12"/>
    </w:rPr>
  </w:style>
  <w:style w:type="character" w:customStyle="1" w:styleId="A9">
    <w:name w:val="A9"/>
    <w:uiPriority w:val="99"/>
    <w:rsid w:val="00092882"/>
    <w:rPr>
      <w:rFonts w:cs="Open Sans"/>
      <w:color w:val="221E1F"/>
      <w:sz w:val="22"/>
      <w:szCs w:val="22"/>
    </w:rPr>
  </w:style>
  <w:style w:type="character" w:customStyle="1" w:styleId="UnresolvedMention1">
    <w:name w:val="Unresolved Mention1"/>
    <w:basedOn w:val="DefaultParagraphFont"/>
    <w:uiPriority w:val="99"/>
    <w:semiHidden/>
    <w:unhideWhenUsed/>
    <w:rsid w:val="00346C81"/>
    <w:rPr>
      <w:color w:val="605E5C"/>
      <w:shd w:val="clear" w:color="auto" w:fill="E1DFDD"/>
    </w:rPr>
  </w:style>
  <w:style w:type="paragraph" w:styleId="FootnoteText">
    <w:name w:val="footnote text"/>
    <w:basedOn w:val="Normal"/>
    <w:link w:val="FootnoteTextChar"/>
    <w:uiPriority w:val="99"/>
    <w:semiHidden/>
    <w:unhideWhenUsed/>
    <w:rsid w:val="006F4517"/>
    <w:rPr>
      <w:sz w:val="20"/>
      <w:szCs w:val="20"/>
    </w:rPr>
  </w:style>
  <w:style w:type="character" w:customStyle="1" w:styleId="FootnoteTextChar">
    <w:name w:val="Footnote Text Char"/>
    <w:basedOn w:val="DefaultParagraphFont"/>
    <w:link w:val="FootnoteText"/>
    <w:uiPriority w:val="99"/>
    <w:semiHidden/>
    <w:rsid w:val="006F45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517"/>
    <w:rPr>
      <w:vertAlign w:val="superscript"/>
    </w:rPr>
  </w:style>
  <w:style w:type="paragraph" w:styleId="Header">
    <w:name w:val="header"/>
    <w:basedOn w:val="Normal"/>
    <w:link w:val="HeaderChar"/>
    <w:uiPriority w:val="99"/>
    <w:unhideWhenUsed/>
    <w:rsid w:val="00024ADD"/>
    <w:pPr>
      <w:tabs>
        <w:tab w:val="center" w:pos="4680"/>
        <w:tab w:val="right" w:pos="9360"/>
      </w:tabs>
    </w:pPr>
  </w:style>
  <w:style w:type="character" w:customStyle="1" w:styleId="HeaderChar">
    <w:name w:val="Header Char"/>
    <w:basedOn w:val="DefaultParagraphFont"/>
    <w:link w:val="Header"/>
    <w:uiPriority w:val="99"/>
    <w:rsid w:val="00024A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4ADD"/>
    <w:pPr>
      <w:tabs>
        <w:tab w:val="center" w:pos="4680"/>
        <w:tab w:val="right" w:pos="9360"/>
      </w:tabs>
    </w:pPr>
  </w:style>
  <w:style w:type="character" w:customStyle="1" w:styleId="FooterChar">
    <w:name w:val="Footer Char"/>
    <w:basedOn w:val="DefaultParagraphFont"/>
    <w:link w:val="Footer"/>
    <w:uiPriority w:val="99"/>
    <w:rsid w:val="00024AD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7C13"/>
  </w:style>
  <w:style w:type="character" w:styleId="FollowedHyperlink">
    <w:name w:val="FollowedHyperlink"/>
    <w:basedOn w:val="DefaultParagraphFont"/>
    <w:uiPriority w:val="99"/>
    <w:semiHidden/>
    <w:unhideWhenUsed/>
    <w:rsid w:val="009F682A"/>
    <w:rPr>
      <w:color w:val="954F72" w:themeColor="followedHyperlink"/>
      <w:u w:val="single"/>
    </w:rPr>
  </w:style>
  <w:style w:type="paragraph" w:styleId="Revision">
    <w:name w:val="Revision"/>
    <w:hidden/>
    <w:uiPriority w:val="99"/>
    <w:semiHidden/>
    <w:rsid w:val="006440A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7287">
      <w:bodyDiv w:val="1"/>
      <w:marLeft w:val="0"/>
      <w:marRight w:val="0"/>
      <w:marTop w:val="0"/>
      <w:marBottom w:val="0"/>
      <w:divBdr>
        <w:top w:val="none" w:sz="0" w:space="0" w:color="auto"/>
        <w:left w:val="none" w:sz="0" w:space="0" w:color="auto"/>
        <w:bottom w:val="none" w:sz="0" w:space="0" w:color="auto"/>
        <w:right w:val="none" w:sz="0" w:space="0" w:color="auto"/>
      </w:divBdr>
    </w:div>
    <w:div w:id="751974795">
      <w:bodyDiv w:val="1"/>
      <w:marLeft w:val="0"/>
      <w:marRight w:val="0"/>
      <w:marTop w:val="0"/>
      <w:marBottom w:val="0"/>
      <w:divBdr>
        <w:top w:val="none" w:sz="0" w:space="0" w:color="auto"/>
        <w:left w:val="none" w:sz="0" w:space="0" w:color="auto"/>
        <w:bottom w:val="none" w:sz="0" w:space="0" w:color="auto"/>
        <w:right w:val="none" w:sz="0" w:space="0" w:color="auto"/>
      </w:divBdr>
    </w:div>
    <w:div w:id="18702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yplacesindex.org/" TargetMode="External"/><Relationship Id="rId18" Type="http://schemas.openxmlformats.org/officeDocument/2006/relationships/hyperlink" Target="https://covid19.ca.gov/safer-economy/" TargetMode="External"/><Relationship Id="rId26" Type="http://schemas.openxmlformats.org/officeDocument/2006/relationships/hyperlink" Target="https://www.youtube.com/watch?v=LOCCFlh3UdM" TargetMode="External"/><Relationship Id="rId39" Type="http://schemas.openxmlformats.org/officeDocument/2006/relationships/theme" Target="theme/theme1.xml"/><Relationship Id="rId21" Type="http://schemas.openxmlformats.org/officeDocument/2006/relationships/hyperlink" Target="http://healthyplacesindex.org/" TargetMode="External"/><Relationship Id="rId34" Type="http://schemas.openxmlformats.org/officeDocument/2006/relationships/hyperlink" Target="https://calmatters.org/projects/california-coronavirus-overcrowded-housing-data-analysis/" TargetMode="External"/><Relationship Id="rId7" Type="http://schemas.openxmlformats.org/officeDocument/2006/relationships/endnotes" Target="endnotes.xml"/><Relationship Id="rId12" Type="http://schemas.openxmlformats.org/officeDocument/2006/relationships/hyperlink" Target="https://www.cdph.ca.gov/Programs/CID/DCDC/Pages/COVID-19/CaliforniaHealthEquityMetric.aspx" TargetMode="External"/><Relationship Id="rId17" Type="http://schemas.openxmlformats.org/officeDocument/2006/relationships/hyperlink" Target="https://www.cdph.ca.gov/Programs/CID/DCDC/Pages/COVID-19/CaliforniaHealthEquityMetric.aspx" TargetMode="External"/><Relationship Id="rId25" Type="http://schemas.openxmlformats.org/officeDocument/2006/relationships/hyperlink" Target="https://healthyplacesindex.org/" TargetMode="External"/><Relationship Id="rId33" Type="http://schemas.openxmlformats.org/officeDocument/2006/relationships/hyperlink" Target="https://laborcenter.berkeley.edu/front-line-essential-jobs-in-california-a-profile-of-job-and-worker-characterist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asocal.org/" TargetMode="External"/><Relationship Id="rId20" Type="http://schemas.openxmlformats.org/officeDocument/2006/relationships/hyperlink" Target="https://www.cdph.ca.gov/Programs/CID/DCDC/Pages/COVID-19/CaliforniaHealthEquityMetric.aspx" TargetMode="External"/><Relationship Id="rId29" Type="http://schemas.openxmlformats.org/officeDocument/2006/relationships/hyperlink" Target="https://www.cdph.ca.gov/Programs/CID/DCDC/Pages/COVID-19/Race-Ethnici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placesindex.org/" TargetMode="External"/><Relationship Id="rId24" Type="http://schemas.openxmlformats.org/officeDocument/2006/relationships/hyperlink" Target="http://www.bmsg.org/wp-content/uploads/2020/05/bmsg_message_development_worksheet.pdf" TargetMode="External"/><Relationship Id="rId32" Type="http://schemas.openxmlformats.org/officeDocument/2006/relationships/hyperlink" Target="https://laborcenter.berkeley.edu/front-line-essential-jobs-in-california-a-profile-of-job-and-worker-characteristic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vid19.healthyplacesindex.org/" TargetMode="External"/><Relationship Id="rId23" Type="http://schemas.openxmlformats.org/officeDocument/2006/relationships/hyperlink" Target="https://covid19.healthyplacesindex.org/" TargetMode="External"/><Relationship Id="rId28" Type="http://schemas.openxmlformats.org/officeDocument/2006/relationships/hyperlink" Target="https://www.cdph.ca.gov/Programs/CID/DCDC/Pages/COVID-19/Race-Ethnicity.aspx" TargetMode="External"/><Relationship Id="rId36" Type="http://schemas.openxmlformats.org/officeDocument/2006/relationships/footer" Target="footer1.xml"/><Relationship Id="rId10" Type="http://schemas.openxmlformats.org/officeDocument/2006/relationships/hyperlink" Target="https://covid19.ca.gov/safer-economy/" TargetMode="External"/><Relationship Id="rId19" Type="http://schemas.openxmlformats.org/officeDocument/2006/relationships/hyperlink" Target="https://healthyplacesindex.org/" TargetMode="External"/><Relationship Id="rId31" Type="http://schemas.openxmlformats.org/officeDocument/2006/relationships/hyperlink" Target="https://laborcenter.berkeley.edu/front-line-essential-jobs-in-california-a-profile-of-job-and-worker-characteristics/" TargetMode="External"/><Relationship Id="rId4" Type="http://schemas.openxmlformats.org/officeDocument/2006/relationships/settings" Target="settings.xml"/><Relationship Id="rId9" Type="http://schemas.openxmlformats.org/officeDocument/2006/relationships/hyperlink" Target="https://www.cdph.ca.gov/Programs/CID/DCDC/Pages/COVID-19/CaliforniaHealthEquityMetric.aspx" TargetMode="External"/><Relationship Id="rId14" Type="http://schemas.openxmlformats.org/officeDocument/2006/relationships/hyperlink" Target="https://map.healthyplacesindex.org/" TargetMode="External"/><Relationship Id="rId22" Type="http://schemas.openxmlformats.org/officeDocument/2006/relationships/hyperlink" Target="https://map.healthyplacesindex.org/" TargetMode="External"/><Relationship Id="rId27" Type="http://schemas.openxmlformats.org/officeDocument/2006/relationships/hyperlink" Target="https://phasocal.us11.list-manage.com/track/click?u=58923e4bddb8d987936e7aa75&amp;id=b2b307e3a6&amp;e=9849a12b91" TargetMode="External"/><Relationship Id="rId30" Type="http://schemas.openxmlformats.org/officeDocument/2006/relationships/hyperlink" Target="https://www.cdph.ca.gov/Programs/CID/DCDC/Pages/COVID-19/Race-Ethnicity.aspx" TargetMode="External"/><Relationship Id="rId35" Type="http://schemas.openxmlformats.org/officeDocument/2006/relationships/header" Target="header1.xml"/><Relationship Id="rId8" Type="http://schemas.openxmlformats.org/officeDocument/2006/relationships/hyperlink" Target="https://phasocal.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9A7D-F238-1644-8DD5-A0F02888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Williams</dc:creator>
  <cp:keywords/>
  <dc:description/>
  <cp:lastModifiedBy>Bill Sadler</cp:lastModifiedBy>
  <cp:revision>5</cp:revision>
  <dcterms:created xsi:type="dcterms:W3CDTF">2020-09-29T15:28:00Z</dcterms:created>
  <dcterms:modified xsi:type="dcterms:W3CDTF">2020-10-02T00:15:00Z</dcterms:modified>
</cp:coreProperties>
</file>